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16" w:rsidRPr="00FC4E16" w:rsidRDefault="00FC4E16" w:rsidP="00FC4E16">
      <w:pPr>
        <w:shd w:val="clear" w:color="auto" w:fill="FFFFFF"/>
        <w:spacing w:before="300" w:after="150" w:line="240" w:lineRule="auto"/>
        <w:outlineLvl w:val="0"/>
        <w:rPr>
          <w:rFonts w:ascii="vectipede_rgregular" w:eastAsia="Times New Roman" w:hAnsi="vectipede_rgregular" w:cs="Calibri"/>
          <w:color w:val="363636"/>
          <w:spacing w:val="14"/>
          <w:kern w:val="36"/>
          <w:sz w:val="48"/>
          <w:szCs w:val="48"/>
        </w:rPr>
      </w:pPr>
      <w:r w:rsidRPr="00FC4E16">
        <w:rPr>
          <w:rFonts w:ascii="vectipede_rgregular" w:eastAsia="Times New Roman" w:hAnsi="vectipede_rgregular" w:cs="Calibri"/>
          <w:color w:val="363636"/>
          <w:spacing w:val="14"/>
          <w:kern w:val="36"/>
          <w:sz w:val="48"/>
          <w:szCs w:val="48"/>
        </w:rPr>
        <w:t>McGraw-Hill Educatio</w:t>
      </w:r>
      <w:bookmarkStart w:id="0" w:name="_GoBack"/>
      <w:bookmarkEnd w:id="0"/>
      <w:r w:rsidRPr="00FC4E16">
        <w:rPr>
          <w:rFonts w:ascii="vectipede_rgregular" w:eastAsia="Times New Roman" w:hAnsi="vectipede_rgregular" w:cs="Calibri"/>
          <w:color w:val="363636"/>
          <w:spacing w:val="14"/>
          <w:kern w:val="36"/>
          <w:sz w:val="48"/>
          <w:szCs w:val="48"/>
        </w:rPr>
        <w:t>n Accessibility Policy</w:t>
      </w:r>
    </w:p>
    <w:p w:rsidR="00FC4E16" w:rsidRPr="00FC4E16" w:rsidRDefault="00FC4E16" w:rsidP="00FC4E16">
      <w:p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color w:val="363636"/>
          <w:sz w:val="21"/>
          <w:szCs w:val="21"/>
        </w:rPr>
        <w:t>Last updated: December 2015</w:t>
      </w:r>
    </w:p>
    <w:p w:rsidR="00FC4E16" w:rsidRPr="00FC4E16" w:rsidRDefault="00FC4E16" w:rsidP="00FC4E16">
      <w:p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color w:val="363636"/>
          <w:sz w:val="21"/>
          <w:szCs w:val="21"/>
        </w:rPr>
        <w:t>At McGraw-Hill Education, we are committed to making the education experience more efficient and effective by combining digital content with software that harnesses the science of learning. To achieve this goal, we are making efforts to create universally accessible products available to any and all learners, including individuals with disabilities.</w:t>
      </w:r>
    </w:p>
    <w:p w:rsidR="00FC4E16" w:rsidRPr="00FC4E16" w:rsidRDefault="00FC4E16" w:rsidP="00FC4E16">
      <w:pPr>
        <w:shd w:val="clear" w:color="auto" w:fill="FFFFFF"/>
        <w:spacing w:before="300" w:after="150" w:line="240" w:lineRule="auto"/>
        <w:outlineLvl w:val="2"/>
        <w:rPr>
          <w:rFonts w:ascii="vectipede_rgregular" w:eastAsia="Times New Roman" w:hAnsi="vectipede_rgregular" w:cs="Calibri"/>
          <w:color w:val="363636"/>
          <w:spacing w:val="12"/>
          <w:sz w:val="27"/>
          <w:szCs w:val="27"/>
        </w:rPr>
      </w:pPr>
      <w:r w:rsidRPr="00FC4E16">
        <w:rPr>
          <w:rFonts w:ascii="vectipede_rgregular" w:eastAsia="Times New Roman" w:hAnsi="vectipede_rgregular" w:cs="Calibri"/>
          <w:color w:val="363636"/>
          <w:spacing w:val="12"/>
          <w:sz w:val="27"/>
          <w:szCs w:val="27"/>
        </w:rPr>
        <w:t>Our commitment</w:t>
      </w:r>
    </w:p>
    <w:p w:rsidR="00FC4E16" w:rsidRPr="00FC4E16" w:rsidRDefault="00FC4E16" w:rsidP="00FC4E16">
      <w:p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color w:val="363636"/>
          <w:sz w:val="21"/>
          <w:szCs w:val="21"/>
        </w:rPr>
        <w:t>We are committed to creating a culture that consciously considers those with disabilities throughout the development of our products. This effort includes an extensive blend of planning, research, training and product development activities with both McGraw-Hill employees and third-party content partners. Specific initiatives include:</w:t>
      </w:r>
    </w:p>
    <w:p w:rsidR="00FC4E16" w:rsidRPr="00FC4E16" w:rsidRDefault="00FC4E16" w:rsidP="00FC4E16">
      <w:pPr>
        <w:numPr>
          <w:ilvl w:val="0"/>
          <w:numId w:val="1"/>
        </w:num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i/>
          <w:iCs/>
          <w:color w:val="363636"/>
          <w:sz w:val="21"/>
          <w:szCs w:val="21"/>
        </w:rPr>
        <w:t>Creation of Accessible Products</w:t>
      </w:r>
      <w:r w:rsidRPr="00FC4E16">
        <w:rPr>
          <w:rFonts w:ascii="arumsans_rgregular" w:eastAsia="Times New Roman" w:hAnsi="arumsans_rgregular" w:cs="Calibri"/>
          <w:color w:val="363636"/>
          <w:sz w:val="21"/>
          <w:szCs w:val="21"/>
        </w:rPr>
        <w:t> – McGraw-Hill Education will strive to have all new content and software, follow the WCAG version 2.0 AA guidelines and best practices. To achieve this and continuously improve the accessibility of our products, we will utilize the efforts of our internal product teams, the assistance of external experts and user feedback.</w:t>
      </w:r>
    </w:p>
    <w:p w:rsidR="00FC4E16" w:rsidRPr="00FC4E16" w:rsidRDefault="00FC4E16" w:rsidP="00FC4E16">
      <w:pPr>
        <w:numPr>
          <w:ilvl w:val="0"/>
          <w:numId w:val="1"/>
        </w:num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i/>
          <w:iCs/>
          <w:color w:val="363636"/>
          <w:sz w:val="21"/>
          <w:szCs w:val="21"/>
        </w:rPr>
        <w:t>Employee Training</w:t>
      </w:r>
      <w:r w:rsidRPr="00FC4E16">
        <w:rPr>
          <w:rFonts w:ascii="arumsans_rgregular" w:eastAsia="Times New Roman" w:hAnsi="arumsans_rgregular" w:cs="Calibri"/>
          <w:color w:val="363636"/>
          <w:sz w:val="21"/>
          <w:szCs w:val="21"/>
        </w:rPr>
        <w:t> – Accessibility is central to our design and development efforts. Employees and resource providers who are central to those roles will be educated and trained on accessibility guidelines to support compliance with WCAG 2.0 AA development guidelines</w:t>
      </w:r>
    </w:p>
    <w:p w:rsidR="00FC4E16" w:rsidRPr="00FC4E16" w:rsidRDefault="00FC4E16" w:rsidP="00FC4E16">
      <w:pPr>
        <w:numPr>
          <w:ilvl w:val="0"/>
          <w:numId w:val="1"/>
        </w:num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i/>
          <w:iCs/>
          <w:color w:val="363636"/>
          <w:sz w:val="21"/>
          <w:szCs w:val="21"/>
        </w:rPr>
        <w:t>Community Inclusion</w:t>
      </w:r>
      <w:r w:rsidRPr="00FC4E16">
        <w:rPr>
          <w:rFonts w:ascii="arumsans_rgregular" w:eastAsia="Times New Roman" w:hAnsi="arumsans_rgregular" w:cs="Calibri"/>
          <w:color w:val="363636"/>
          <w:sz w:val="21"/>
          <w:szCs w:val="21"/>
        </w:rPr>
        <w:t> – In addition to developing experiences that meet the recommended guidelines, we will engage accessibility advocacy organizations, forums, and user groups to provide feedback and validate that the software and content we produce is not only compliant but, more importantly, usable for learners.</w:t>
      </w:r>
    </w:p>
    <w:p w:rsidR="00FC4E16" w:rsidRPr="00FC4E16" w:rsidRDefault="00FC4E16" w:rsidP="00FC4E16">
      <w:pPr>
        <w:numPr>
          <w:ilvl w:val="0"/>
          <w:numId w:val="1"/>
        </w:num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i/>
          <w:iCs/>
          <w:color w:val="363636"/>
          <w:sz w:val="21"/>
          <w:szCs w:val="21"/>
        </w:rPr>
        <w:t>Alternative Content</w:t>
      </w:r>
      <w:r w:rsidRPr="00FC4E16">
        <w:rPr>
          <w:rFonts w:ascii="arumsans_rgregular" w:eastAsia="Times New Roman" w:hAnsi="arumsans_rgregular" w:cs="Calibri"/>
          <w:color w:val="363636"/>
          <w:sz w:val="21"/>
          <w:szCs w:val="21"/>
        </w:rPr>
        <w:t> – We are committed to working with all of our education partners as we progress with our accessibility efforts. In the event that alternative content formats are required, we will evaluate the options and where possible, provide as needed.</w:t>
      </w:r>
    </w:p>
    <w:p w:rsidR="00FC4E16" w:rsidRPr="00FC4E16" w:rsidRDefault="00FC4E16" w:rsidP="00FC4E16">
      <w:p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color w:val="363636"/>
          <w:sz w:val="21"/>
          <w:szCs w:val="21"/>
        </w:rPr>
        <w:t>Creating accessible products is a priority for McGraw-Hill Education. We have put in place processes to make accessibility and meeting the WCAG 2.0 AA guidelines part of our day-to-day development efforts and product roadmaps. We will measure and track our progress to ensure we continually make improvements to address the evolving industry standards and to meet our learners’ accessibility needs.</w:t>
      </w:r>
    </w:p>
    <w:p w:rsidR="00FC4E16" w:rsidRPr="00FC4E16" w:rsidRDefault="00FC4E16" w:rsidP="00FC4E16">
      <w:p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color w:val="363636"/>
          <w:sz w:val="21"/>
          <w:szCs w:val="21"/>
        </w:rPr>
        <w:t>To request accessible digital files for students with print disabilities, contact </w:t>
      </w:r>
      <w:hyperlink r:id="rId5" w:history="1">
        <w:r w:rsidRPr="00FC4E16">
          <w:rPr>
            <w:rFonts w:ascii="arumsans_ltbold" w:eastAsia="Times New Roman" w:hAnsi="arumsans_ltbold" w:cs="Calibri"/>
            <w:color w:val="F47921"/>
            <w:sz w:val="21"/>
            <w:szCs w:val="21"/>
            <w:u w:val="single"/>
          </w:rPr>
          <w:t>Permissions</w:t>
        </w:r>
      </w:hyperlink>
    </w:p>
    <w:p w:rsidR="00FC4E16" w:rsidRPr="00FC4E16" w:rsidRDefault="00FC4E16" w:rsidP="00FC4E16">
      <w:p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color w:val="363636"/>
          <w:sz w:val="21"/>
          <w:szCs w:val="21"/>
        </w:rPr>
        <w:lastRenderedPageBreak/>
        <w:t>To learn more about available disability support accommodations, please contact us at </w:t>
      </w:r>
      <w:hyperlink r:id="rId6" w:history="1">
        <w:r w:rsidRPr="00FC4E16">
          <w:rPr>
            <w:rFonts w:ascii="arumsans_ltbold" w:eastAsia="Times New Roman" w:hAnsi="arumsans_ltbold" w:cs="Calibri"/>
            <w:color w:val="F47921"/>
            <w:sz w:val="21"/>
            <w:szCs w:val="21"/>
            <w:u w:val="single"/>
          </w:rPr>
          <w:t>accessibility@mheducation.com</w:t>
        </w:r>
      </w:hyperlink>
    </w:p>
    <w:p w:rsidR="00FC4E16" w:rsidRPr="00FC4E16" w:rsidRDefault="00FC4E16" w:rsidP="00FC4E16">
      <w:pPr>
        <w:shd w:val="clear" w:color="auto" w:fill="FFFFFF"/>
        <w:spacing w:after="150" w:line="360" w:lineRule="atLeast"/>
        <w:rPr>
          <w:rFonts w:ascii="arumsans_rgregular" w:eastAsia="Times New Roman" w:hAnsi="arumsans_rgregular" w:cs="Calibri"/>
          <w:color w:val="363636"/>
          <w:sz w:val="21"/>
          <w:szCs w:val="21"/>
        </w:rPr>
      </w:pPr>
      <w:r w:rsidRPr="00FC4E16">
        <w:rPr>
          <w:rFonts w:ascii="arumsans_rgregular" w:eastAsia="Times New Roman" w:hAnsi="arumsans_rgregular" w:cs="Calibri"/>
          <w:color w:val="363636"/>
          <w:sz w:val="21"/>
          <w:szCs w:val="21"/>
        </w:rPr>
        <w:t>For Canadian customers, please see our </w:t>
      </w:r>
      <w:hyperlink r:id="rId7" w:tgtFrame="_blank" w:history="1">
        <w:r w:rsidRPr="00FC4E16">
          <w:rPr>
            <w:rFonts w:ascii="arumsans_ltbold" w:eastAsia="Times New Roman" w:hAnsi="arumsans_ltbold" w:cs="Calibri"/>
            <w:color w:val="F47921"/>
            <w:sz w:val="21"/>
            <w:szCs w:val="21"/>
            <w:u w:val="single"/>
          </w:rPr>
          <w:t>Accessibility Policy specific to Canada.</w:t>
        </w:r>
      </w:hyperlink>
    </w:p>
    <w:p w:rsidR="000747F0" w:rsidRDefault="00FC4E16"/>
    <w:sectPr w:rsidR="0007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ctipede_rgregular">
    <w:altName w:val="Times New Roman"/>
    <w:panose1 w:val="00000000000000000000"/>
    <w:charset w:val="00"/>
    <w:family w:val="roman"/>
    <w:notTrueType/>
    <w:pitch w:val="default"/>
  </w:font>
  <w:font w:name="arumsans_rgregular">
    <w:altName w:val="Times New Roman"/>
    <w:panose1 w:val="00000000000000000000"/>
    <w:charset w:val="00"/>
    <w:family w:val="roman"/>
    <w:notTrueType/>
    <w:pitch w:val="default"/>
  </w:font>
  <w:font w:name="arumsans_lt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AFD"/>
    <w:multiLevelType w:val="multilevel"/>
    <w:tmpl w:val="2B1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16"/>
    <w:rsid w:val="007C396A"/>
    <w:rsid w:val="00D7792F"/>
    <w:rsid w:val="00FC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76FE1-7962-4F05-8DF1-B70F7D09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4E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4E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E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4E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4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E16"/>
  </w:style>
  <w:style w:type="character" w:styleId="Hyperlink">
    <w:name w:val="Hyperlink"/>
    <w:basedOn w:val="DefaultParagraphFont"/>
    <w:uiPriority w:val="99"/>
    <w:semiHidden/>
    <w:unhideWhenUsed/>
    <w:rsid w:val="00FC4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2483">
      <w:bodyDiv w:val="1"/>
      <w:marLeft w:val="0"/>
      <w:marRight w:val="0"/>
      <w:marTop w:val="0"/>
      <w:marBottom w:val="0"/>
      <w:divBdr>
        <w:top w:val="none" w:sz="0" w:space="0" w:color="auto"/>
        <w:left w:val="none" w:sz="0" w:space="0" w:color="auto"/>
        <w:bottom w:val="none" w:sz="0" w:space="0" w:color="auto"/>
        <w:right w:val="none" w:sz="0" w:space="0" w:color="auto"/>
      </w:divBdr>
      <w:divsChild>
        <w:div w:id="1665626184">
          <w:marLeft w:val="0"/>
          <w:marRight w:val="0"/>
          <w:marTop w:val="0"/>
          <w:marBottom w:val="0"/>
          <w:divBdr>
            <w:top w:val="none" w:sz="0" w:space="0" w:color="auto"/>
            <w:left w:val="none" w:sz="0" w:space="0" w:color="auto"/>
            <w:bottom w:val="none" w:sz="0" w:space="0" w:color="auto"/>
            <w:right w:val="none" w:sz="0" w:space="0" w:color="auto"/>
          </w:divBdr>
          <w:divsChild>
            <w:div w:id="252669672">
              <w:marLeft w:val="-225"/>
              <w:marRight w:val="-225"/>
              <w:marTop w:val="0"/>
              <w:marBottom w:val="0"/>
              <w:divBdr>
                <w:top w:val="none" w:sz="0" w:space="0" w:color="auto"/>
                <w:left w:val="none" w:sz="0" w:space="0" w:color="auto"/>
                <w:bottom w:val="none" w:sz="0" w:space="0" w:color="auto"/>
                <w:right w:val="none" w:sz="0" w:space="0" w:color="auto"/>
              </w:divBdr>
              <w:divsChild>
                <w:div w:id="13427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education.ca/contact/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mheducation.com" TargetMode="External"/><Relationship Id="rId5" Type="http://schemas.openxmlformats.org/officeDocument/2006/relationships/hyperlink" Target="http://www.mheducation.com/permiss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Jonathon</dc:creator>
  <cp:keywords/>
  <dc:description/>
  <cp:lastModifiedBy>Hudson, Jonathon</cp:lastModifiedBy>
  <cp:revision>1</cp:revision>
  <dcterms:created xsi:type="dcterms:W3CDTF">2017-04-21T14:32:00Z</dcterms:created>
  <dcterms:modified xsi:type="dcterms:W3CDTF">2017-04-21T14:33:00Z</dcterms:modified>
</cp:coreProperties>
</file>