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1405" w:rsidRDefault="00AA5BA1">
      <w:pPr>
        <w:pStyle w:val="Title"/>
        <w:contextualSpacing w:val="0"/>
      </w:pPr>
      <w:bookmarkStart w:id="0" w:name="h.famzmjkqnzie" w:colFirst="0" w:colLast="0"/>
      <w:bookmarkStart w:id="1" w:name="_GoBack"/>
      <w:bookmarkEnd w:id="0"/>
      <w:bookmarkEnd w:id="1"/>
      <w:r>
        <w:t xml:space="preserve">Pearson Accessibility Statements </w:t>
      </w:r>
    </w:p>
    <w:p w:rsidR="004E1405" w:rsidRDefault="004E1405"/>
    <w:p w:rsidR="004E1405" w:rsidRDefault="00AA5BA1">
      <w:r>
        <w:rPr>
          <w:rFonts w:ascii="Calibri" w:eastAsia="Calibri" w:hAnsi="Calibri" w:cs="Calibri"/>
        </w:rPr>
        <w:t xml:space="preserve">Pearson Higher Education is the leader in accessibility and intends to continue leading the charge for compliance with the WCAG 2.0 AA standards. For all new </w:t>
      </w:r>
      <w:r>
        <w:rPr>
          <w:color w:val="333333"/>
          <w:sz w:val="20"/>
          <w:szCs w:val="20"/>
          <w:highlight w:val="white"/>
        </w:rPr>
        <w:t>all new digital products and mat</w:t>
      </w:r>
      <w:r>
        <w:rPr>
          <w:color w:val="333333"/>
          <w:sz w:val="20"/>
          <w:szCs w:val="20"/>
        </w:rPr>
        <w:t>erials. Our goal is full compliance, with modifications when necessary that meet or exceed standards articulated by the Office for Civil Rights. We are also working</w:t>
      </w:r>
      <w:r>
        <w:rPr>
          <w:rFonts w:ascii="Calibri" w:eastAsia="Calibri" w:hAnsi="Calibri" w:cs="Calibri"/>
        </w:rPr>
        <w:t xml:space="preserve"> towards refreshing or replacing older content.</w:t>
      </w:r>
    </w:p>
    <w:p w:rsidR="004E1405" w:rsidRDefault="00AA5BA1">
      <w:pPr>
        <w:pStyle w:val="Heading2"/>
        <w:contextualSpacing w:val="0"/>
      </w:pPr>
      <w:bookmarkStart w:id="2" w:name="h.s10z4mhr4bw2" w:colFirst="0" w:colLast="0"/>
      <w:bookmarkEnd w:id="2"/>
      <w:r>
        <w:t>We’re here to help</w:t>
      </w:r>
    </w:p>
    <w:p w:rsidR="004E1405" w:rsidRDefault="00AA5BA1">
      <w:r>
        <w:rPr>
          <w:color w:val="333333"/>
          <w:sz w:val="20"/>
          <w:szCs w:val="20"/>
          <w:highlight w:val="white"/>
        </w:rPr>
        <w:t>Earlier this year we established a team of accessibility specialists within our 24/7 North American Higher Education Customer Technical Support Group. They are available to help you and your students with a wide range of issues, including but not limited too:</w:t>
      </w:r>
    </w:p>
    <w:p w:rsidR="004E1405" w:rsidRDefault="004E1405"/>
    <w:p w:rsidR="004E1405" w:rsidRDefault="00AA5BA1">
      <w:pPr>
        <w:numPr>
          <w:ilvl w:val="0"/>
          <w:numId w:val="1"/>
        </w:numPr>
        <w:ind w:hanging="360"/>
        <w:contextualSpacing/>
        <w:rPr>
          <w:color w:val="333333"/>
          <w:sz w:val="20"/>
          <w:szCs w:val="20"/>
          <w:highlight w:val="white"/>
        </w:rPr>
      </w:pPr>
      <w:r>
        <w:rPr>
          <w:color w:val="333333"/>
          <w:sz w:val="20"/>
          <w:szCs w:val="20"/>
          <w:highlight w:val="white"/>
        </w:rPr>
        <w:t>Troubleshooting end user assistive technology issues within our product platforms</w:t>
      </w:r>
    </w:p>
    <w:p w:rsidR="004E1405" w:rsidRDefault="00AA5BA1">
      <w:pPr>
        <w:numPr>
          <w:ilvl w:val="0"/>
          <w:numId w:val="1"/>
        </w:numPr>
        <w:ind w:hanging="360"/>
        <w:contextualSpacing/>
        <w:rPr>
          <w:color w:val="333333"/>
          <w:sz w:val="20"/>
          <w:szCs w:val="20"/>
          <w:highlight w:val="white"/>
        </w:rPr>
      </w:pPr>
      <w:r>
        <w:rPr>
          <w:color w:val="333333"/>
          <w:sz w:val="20"/>
          <w:szCs w:val="20"/>
          <w:highlight w:val="white"/>
        </w:rPr>
        <w:t>Screen Readers such as JAWS, Window Eyes, NVDA, VoiceOver, etc.</w:t>
      </w:r>
    </w:p>
    <w:p w:rsidR="004E1405" w:rsidRDefault="00AA5BA1">
      <w:pPr>
        <w:numPr>
          <w:ilvl w:val="0"/>
          <w:numId w:val="1"/>
        </w:numPr>
        <w:ind w:hanging="360"/>
        <w:contextualSpacing/>
        <w:rPr>
          <w:color w:val="333333"/>
          <w:sz w:val="20"/>
          <w:szCs w:val="20"/>
          <w:highlight w:val="white"/>
        </w:rPr>
      </w:pPr>
      <w:r>
        <w:rPr>
          <w:color w:val="333333"/>
          <w:sz w:val="20"/>
          <w:szCs w:val="20"/>
          <w:highlight w:val="white"/>
        </w:rPr>
        <w:t>The assistive technology we support for your students</w:t>
      </w:r>
    </w:p>
    <w:p w:rsidR="004E1405" w:rsidRDefault="00AA5BA1">
      <w:pPr>
        <w:numPr>
          <w:ilvl w:val="0"/>
          <w:numId w:val="1"/>
        </w:numPr>
        <w:ind w:hanging="360"/>
        <w:contextualSpacing/>
        <w:rPr>
          <w:color w:val="333333"/>
          <w:sz w:val="20"/>
          <w:szCs w:val="20"/>
          <w:highlight w:val="white"/>
        </w:rPr>
      </w:pPr>
      <w:r>
        <w:rPr>
          <w:color w:val="333333"/>
          <w:sz w:val="20"/>
          <w:szCs w:val="20"/>
          <w:highlight w:val="white"/>
        </w:rPr>
        <w:t>Mobile programs that work with assistive technologies – Android Talkback &amp; VoiceOver</w:t>
      </w:r>
    </w:p>
    <w:p w:rsidR="004E1405" w:rsidRDefault="00AA5BA1">
      <w:pPr>
        <w:numPr>
          <w:ilvl w:val="0"/>
          <w:numId w:val="1"/>
        </w:numPr>
        <w:ind w:hanging="360"/>
        <w:contextualSpacing/>
        <w:rPr>
          <w:color w:val="333333"/>
          <w:sz w:val="20"/>
          <w:szCs w:val="20"/>
          <w:highlight w:val="white"/>
        </w:rPr>
      </w:pPr>
      <w:r>
        <w:rPr>
          <w:color w:val="333333"/>
          <w:sz w:val="20"/>
          <w:szCs w:val="20"/>
          <w:highlight w:val="white"/>
        </w:rPr>
        <w:t>If you need a VPAT or other accessibility documentation</w:t>
      </w:r>
    </w:p>
    <w:p w:rsidR="004E1405" w:rsidRDefault="00AA5BA1">
      <w:pPr>
        <w:numPr>
          <w:ilvl w:val="0"/>
          <w:numId w:val="1"/>
        </w:numPr>
        <w:ind w:hanging="360"/>
        <w:contextualSpacing/>
        <w:rPr>
          <w:color w:val="333333"/>
          <w:sz w:val="20"/>
          <w:szCs w:val="20"/>
          <w:highlight w:val="white"/>
        </w:rPr>
      </w:pPr>
      <w:r>
        <w:rPr>
          <w:color w:val="333333"/>
          <w:sz w:val="20"/>
          <w:szCs w:val="20"/>
          <w:highlight w:val="white"/>
        </w:rPr>
        <w:t>Requests for closed-captioned videos, transcripts; help with color contrast issues</w:t>
      </w:r>
    </w:p>
    <w:p w:rsidR="004E1405" w:rsidRDefault="004E1405"/>
    <w:p w:rsidR="004E1405" w:rsidRDefault="00AA5BA1">
      <w:r>
        <w:rPr>
          <w:color w:val="333333"/>
          <w:sz w:val="20"/>
          <w:szCs w:val="20"/>
          <w:highlight w:val="white"/>
        </w:rPr>
        <w:t xml:space="preserve">Please reach out to this team for these and any other related accessibility issues. We will do our best to assist you and your students. </w:t>
      </w:r>
    </w:p>
    <w:p w:rsidR="004E1405" w:rsidRDefault="004E1405"/>
    <w:p w:rsidR="004E1405" w:rsidRDefault="00AA5BA1">
      <w:pPr>
        <w:numPr>
          <w:ilvl w:val="0"/>
          <w:numId w:val="3"/>
        </w:numPr>
        <w:ind w:hanging="360"/>
        <w:contextualSpacing/>
        <w:rPr>
          <w:color w:val="333333"/>
          <w:sz w:val="20"/>
          <w:szCs w:val="20"/>
          <w:highlight w:val="white"/>
        </w:rPr>
      </w:pPr>
      <w:r>
        <w:rPr>
          <w:color w:val="333333"/>
          <w:sz w:val="20"/>
          <w:szCs w:val="20"/>
          <w:highlight w:val="white"/>
        </w:rPr>
        <w:t>The team accepts tickets 24/7 and tries to reach out to the end user within 24 hours</w:t>
      </w:r>
    </w:p>
    <w:p w:rsidR="004E1405" w:rsidRDefault="00AA5BA1">
      <w:pPr>
        <w:numPr>
          <w:ilvl w:val="0"/>
          <w:numId w:val="3"/>
        </w:numPr>
        <w:ind w:hanging="360"/>
        <w:contextualSpacing/>
        <w:rPr>
          <w:color w:val="333333"/>
          <w:sz w:val="20"/>
          <w:szCs w:val="20"/>
          <w:highlight w:val="white"/>
        </w:rPr>
      </w:pPr>
      <w:r>
        <w:rPr>
          <w:color w:val="333333"/>
          <w:sz w:val="20"/>
          <w:szCs w:val="20"/>
          <w:highlight w:val="white"/>
        </w:rPr>
        <w:t>Call the North American Higher Education Customer Technical Support Accessibility Team at 1-877-740-2213. Advise the agent this is an Accessibility issue. The agent will open a ticket for you and ask you for the information the Accessibility team needs.</w:t>
      </w:r>
      <w:r>
        <w:rPr>
          <w:color w:val="333333"/>
          <w:sz w:val="20"/>
          <w:szCs w:val="20"/>
          <w:highlight w:val="white"/>
        </w:rPr>
        <w:tab/>
      </w:r>
    </w:p>
    <w:p w:rsidR="004E1405" w:rsidRDefault="00AA5BA1">
      <w:pPr>
        <w:numPr>
          <w:ilvl w:val="0"/>
          <w:numId w:val="3"/>
        </w:numPr>
        <w:ind w:hanging="360"/>
        <w:contextualSpacing/>
        <w:rPr>
          <w:sz w:val="20"/>
          <w:szCs w:val="20"/>
          <w:highlight w:val="white"/>
        </w:rPr>
      </w:pPr>
      <w:r>
        <w:rPr>
          <w:color w:val="333333"/>
          <w:sz w:val="20"/>
          <w:szCs w:val="20"/>
          <w:highlight w:val="white"/>
        </w:rPr>
        <w:t xml:space="preserve">You can also reach them via email, at </w:t>
      </w:r>
      <w:r>
        <w:rPr>
          <w:color w:val="4285F4"/>
          <w:sz w:val="20"/>
          <w:szCs w:val="20"/>
          <w:highlight w:val="white"/>
        </w:rPr>
        <w:t>disability.support@pearson.com</w:t>
      </w:r>
    </w:p>
    <w:p w:rsidR="004E1405" w:rsidRDefault="00AA5BA1">
      <w:pPr>
        <w:pStyle w:val="Heading2"/>
        <w:contextualSpacing w:val="0"/>
      </w:pPr>
      <w:bookmarkStart w:id="3" w:name="h.sifnh7suuo27" w:colFirst="0" w:colLast="0"/>
      <w:bookmarkEnd w:id="3"/>
      <w:r>
        <w:t>Higher Education Accessibility Statement:</w:t>
      </w:r>
    </w:p>
    <w:p w:rsidR="004E1405" w:rsidRDefault="004607BB">
      <w:hyperlink r:id="rId5">
        <w:r w:rsidR="00AA5BA1">
          <w:rPr>
            <w:rFonts w:ascii="Calibri" w:eastAsia="Calibri" w:hAnsi="Calibri" w:cs="Calibri"/>
            <w:color w:val="1155CC"/>
            <w:u w:val="single"/>
          </w:rPr>
          <w:t>http://www.pearsonhighered.com/educator/accessibility/index.page</w:t>
        </w:r>
      </w:hyperlink>
    </w:p>
    <w:p w:rsidR="004E1405" w:rsidRDefault="00AA5BA1">
      <w:pPr>
        <w:pStyle w:val="Heading3"/>
        <w:keepNext w:val="0"/>
        <w:keepLines w:val="0"/>
        <w:spacing w:before="420" w:after="0"/>
        <w:contextualSpacing w:val="0"/>
      </w:pPr>
      <w:bookmarkStart w:id="4" w:name="h.p1pnp0qb74ce" w:colFirst="0" w:colLast="0"/>
      <w:bookmarkEnd w:id="4"/>
      <w:r>
        <w:t>At Pearson, we value every learner.</w:t>
      </w:r>
    </w:p>
    <w:p w:rsidR="004E1405" w:rsidRDefault="00AA5BA1">
      <w:pPr>
        <w:spacing w:line="355" w:lineRule="auto"/>
      </w:pPr>
      <w:r>
        <w:rPr>
          <w:rFonts w:ascii="Calibri" w:eastAsia="Calibri" w:hAnsi="Calibri" w:cs="Calibri"/>
          <w:color w:val="444444"/>
        </w:rPr>
        <w:t>Pearson's defining goal — to help people make progress in their lives through learning — can only be fulfilled when our educational materials are accessible to all users, including persons with disabilities.</w:t>
      </w:r>
    </w:p>
    <w:p w:rsidR="004E1405" w:rsidRDefault="004E1405">
      <w:pPr>
        <w:pStyle w:val="Heading3"/>
        <w:keepNext w:val="0"/>
        <w:keepLines w:val="0"/>
        <w:spacing w:before="0" w:after="0" w:line="355" w:lineRule="auto"/>
        <w:contextualSpacing w:val="0"/>
      </w:pPr>
      <w:bookmarkStart w:id="5" w:name="h.52p9qe39sjil" w:colFirst="0" w:colLast="0"/>
      <w:bookmarkEnd w:id="5"/>
    </w:p>
    <w:p w:rsidR="004E1405" w:rsidRDefault="00AA5BA1">
      <w:pPr>
        <w:pStyle w:val="Heading3"/>
        <w:keepNext w:val="0"/>
        <w:keepLines w:val="0"/>
        <w:spacing w:before="0" w:after="0" w:line="355" w:lineRule="auto"/>
        <w:contextualSpacing w:val="0"/>
      </w:pPr>
      <w:bookmarkStart w:id="6" w:name="h.2t7faw6046yr" w:colFirst="0" w:colLast="0"/>
      <w:bookmarkEnd w:id="6"/>
      <w:r>
        <w:t>Our commitment</w:t>
      </w:r>
    </w:p>
    <w:p w:rsidR="004E1405" w:rsidRDefault="00AA5BA1">
      <w:pPr>
        <w:spacing w:line="355" w:lineRule="auto"/>
      </w:pPr>
      <w:r>
        <w:rPr>
          <w:rFonts w:ascii="Calibri" w:eastAsia="Calibri" w:hAnsi="Calibri" w:cs="Calibri"/>
          <w:color w:val="444444"/>
        </w:rPr>
        <w:t xml:space="preserve">We are committed to access for persons with disabilities as part of the fabric of our learning materials, our development processes, our innovation efforts, and our employee culture. We are also committed </w:t>
      </w:r>
      <w:r>
        <w:rPr>
          <w:rFonts w:ascii="Calibri" w:eastAsia="Calibri" w:hAnsi="Calibri" w:cs="Calibri"/>
          <w:color w:val="444444"/>
        </w:rPr>
        <w:lastRenderedPageBreak/>
        <w:t>to providing clear and straightforward statements on the accessibility of our products, so that our customers can plan appropriately. Accessibility and achievement go hand in hand. We need to eliminate any barriers that hinder a student's opportunity to learn or opportunity to demonstrate that learning.</w:t>
      </w:r>
    </w:p>
    <w:p w:rsidR="004E1405" w:rsidRDefault="00AA5BA1">
      <w:pPr>
        <w:pStyle w:val="Heading3"/>
        <w:keepNext w:val="0"/>
        <w:keepLines w:val="0"/>
        <w:spacing w:before="0" w:after="0" w:line="355" w:lineRule="auto"/>
        <w:contextualSpacing w:val="0"/>
      </w:pPr>
      <w:bookmarkStart w:id="7" w:name="h.8gblhqviwff" w:colFirst="0" w:colLast="0"/>
      <w:bookmarkEnd w:id="7"/>
      <w:r>
        <w:rPr>
          <w:rFonts w:ascii="Calibri" w:eastAsia="Calibri" w:hAnsi="Calibri" w:cs="Calibri"/>
          <w:b/>
          <w:color w:val="333333"/>
          <w:sz w:val="22"/>
          <w:szCs w:val="22"/>
        </w:rPr>
        <w:t>Our commitment is embodied in specific policies and services:</w:t>
      </w:r>
    </w:p>
    <w:p w:rsidR="004E1405" w:rsidRDefault="004E1405"/>
    <w:p w:rsidR="004E1405" w:rsidRDefault="00AA5BA1">
      <w:pPr>
        <w:numPr>
          <w:ilvl w:val="0"/>
          <w:numId w:val="2"/>
        </w:numPr>
        <w:spacing w:line="360" w:lineRule="auto"/>
        <w:ind w:left="940" w:hanging="360"/>
        <w:contextualSpacing/>
        <w:rPr>
          <w:rFonts w:ascii="Calibri" w:eastAsia="Calibri" w:hAnsi="Calibri" w:cs="Calibri"/>
        </w:rPr>
      </w:pPr>
      <w:r>
        <w:rPr>
          <w:rFonts w:ascii="Calibri" w:eastAsia="Calibri" w:hAnsi="Calibri" w:cs="Calibri"/>
          <w:b/>
          <w:color w:val="444444"/>
        </w:rPr>
        <w:t>Alternate Text Files</w:t>
      </w:r>
      <w:r>
        <w:rPr>
          <w:rFonts w:ascii="Calibri" w:eastAsia="Calibri" w:hAnsi="Calibri" w:cs="Calibri"/>
          <w:color w:val="444444"/>
        </w:rPr>
        <w:t xml:space="preserve"> are available for qualified students and instructors upon request and at no added cost, provided the student has purchased a copy of the print textbook. Files may be ordered directly from Pearson's automated disability request server or via Access Text Network, a clearinghouse for files from all major higher education publishers. </w:t>
      </w:r>
    </w:p>
    <w:p w:rsidR="004E1405" w:rsidRDefault="00AA5BA1">
      <w:pPr>
        <w:numPr>
          <w:ilvl w:val="0"/>
          <w:numId w:val="2"/>
        </w:numPr>
        <w:spacing w:line="360" w:lineRule="auto"/>
        <w:ind w:left="940" w:hanging="360"/>
        <w:contextualSpacing/>
        <w:rPr>
          <w:rFonts w:ascii="Calibri" w:eastAsia="Calibri" w:hAnsi="Calibri" w:cs="Calibri"/>
        </w:rPr>
      </w:pPr>
      <w:r>
        <w:rPr>
          <w:rFonts w:ascii="Calibri" w:eastAsia="Calibri" w:hAnsi="Calibri" w:cs="Calibri"/>
          <w:color w:val="444444"/>
        </w:rPr>
        <w:t xml:space="preserve">If you have a student who has a verified disability that prevents him or her from using standard instructional materials, please have your school's Disabilities Service Coordinator or other school official fill out </w:t>
      </w:r>
      <w:hyperlink r:id="rId6">
        <w:r>
          <w:rPr>
            <w:rFonts w:ascii="Calibri" w:eastAsia="Calibri" w:hAnsi="Calibri" w:cs="Calibri"/>
            <w:color w:val="0000CC"/>
          </w:rPr>
          <w:t>this request form and agreement</w:t>
        </w:r>
      </w:hyperlink>
      <w:r>
        <w:rPr>
          <w:rFonts w:ascii="Calibri" w:eastAsia="Calibri" w:hAnsi="Calibri" w:cs="Calibri"/>
          <w:color w:val="444444"/>
        </w:rPr>
        <w:t xml:space="preserve"> for the electronic file the student requires.</w:t>
      </w:r>
    </w:p>
    <w:p w:rsidR="004E1405" w:rsidRDefault="00AA5BA1">
      <w:pPr>
        <w:numPr>
          <w:ilvl w:val="0"/>
          <w:numId w:val="2"/>
        </w:numPr>
        <w:spacing w:line="360" w:lineRule="auto"/>
        <w:ind w:left="940" w:hanging="360"/>
        <w:contextualSpacing/>
        <w:rPr>
          <w:rFonts w:ascii="Calibri" w:eastAsia="Calibri" w:hAnsi="Calibri" w:cs="Calibri"/>
        </w:rPr>
      </w:pPr>
      <w:r>
        <w:rPr>
          <w:rFonts w:ascii="Calibri" w:eastAsia="Calibri" w:hAnsi="Calibri" w:cs="Calibri"/>
          <w:b/>
          <w:color w:val="444444"/>
        </w:rPr>
        <w:t>Accessible eBooks:</w:t>
      </w:r>
      <w:r>
        <w:rPr>
          <w:rFonts w:ascii="Calibri" w:eastAsia="Calibri" w:hAnsi="Calibri" w:cs="Calibri"/>
          <w:color w:val="444444"/>
        </w:rPr>
        <w:t xml:space="preserve"> Many of our leading textbooks are now offered as HTML eBooks for students using assistive technology to access course materials. Compatible with JAWS and other Windows screen readers, HTML eBooks are national texts published in HTML and, when appropriate, MathML to offer students:</w:t>
      </w:r>
    </w:p>
    <w:p w:rsidR="004E1405" w:rsidRDefault="00AA5BA1">
      <w:pPr>
        <w:numPr>
          <w:ilvl w:val="1"/>
          <w:numId w:val="2"/>
        </w:numPr>
        <w:spacing w:line="360" w:lineRule="auto"/>
        <w:ind w:left="1880" w:hanging="360"/>
        <w:contextualSpacing/>
        <w:rPr>
          <w:rFonts w:ascii="Calibri" w:eastAsia="Calibri" w:hAnsi="Calibri" w:cs="Calibri"/>
        </w:rPr>
      </w:pPr>
      <w:r>
        <w:rPr>
          <w:rFonts w:ascii="Calibri" w:eastAsia="Calibri" w:hAnsi="Calibri" w:cs="Calibri"/>
          <w:color w:val="444444"/>
        </w:rPr>
        <w:t>• complete core content, including text and images, in single column presentation.</w:t>
      </w:r>
    </w:p>
    <w:p w:rsidR="004E1405" w:rsidRDefault="00AA5BA1">
      <w:pPr>
        <w:numPr>
          <w:ilvl w:val="1"/>
          <w:numId w:val="2"/>
        </w:numPr>
        <w:spacing w:line="360" w:lineRule="auto"/>
        <w:ind w:left="1880" w:hanging="360"/>
        <w:contextualSpacing/>
        <w:rPr>
          <w:rFonts w:ascii="Calibri" w:eastAsia="Calibri" w:hAnsi="Calibri" w:cs="Calibri"/>
        </w:rPr>
      </w:pPr>
      <w:r>
        <w:rPr>
          <w:rFonts w:ascii="Calibri" w:eastAsia="Calibri" w:hAnsi="Calibri" w:cs="Calibri"/>
          <w:color w:val="444444"/>
        </w:rPr>
        <w:t>• alternative text descriptions for all important figures and photos.</w:t>
      </w:r>
    </w:p>
    <w:p w:rsidR="004E1405" w:rsidRDefault="00AA5BA1">
      <w:pPr>
        <w:numPr>
          <w:ilvl w:val="1"/>
          <w:numId w:val="2"/>
        </w:numPr>
        <w:spacing w:line="360" w:lineRule="auto"/>
        <w:ind w:left="1880" w:hanging="360"/>
        <w:contextualSpacing/>
        <w:rPr>
          <w:rFonts w:ascii="Calibri" w:eastAsia="Calibri" w:hAnsi="Calibri" w:cs="Calibri"/>
        </w:rPr>
      </w:pPr>
      <w:r>
        <w:rPr>
          <w:rFonts w:ascii="Calibri" w:eastAsia="Calibri" w:hAnsi="Calibri" w:cs="Calibri"/>
          <w:color w:val="444444"/>
        </w:rPr>
        <w:t>• enhanced navigation support, including interactive table of contents, go-to-page functionality, and keyboard access.</w:t>
      </w:r>
    </w:p>
    <w:p w:rsidR="004E1405" w:rsidRDefault="00AA5BA1">
      <w:pPr>
        <w:numPr>
          <w:ilvl w:val="0"/>
          <w:numId w:val="2"/>
        </w:numPr>
        <w:spacing w:line="360" w:lineRule="auto"/>
        <w:ind w:left="940" w:hanging="360"/>
        <w:contextualSpacing/>
        <w:rPr>
          <w:rFonts w:ascii="Calibri" w:eastAsia="Calibri" w:hAnsi="Calibri" w:cs="Calibri"/>
        </w:rPr>
      </w:pPr>
      <w:r>
        <w:rPr>
          <w:rFonts w:ascii="Calibri" w:eastAsia="Calibri" w:hAnsi="Calibri" w:cs="Calibri"/>
          <w:color w:val="444444"/>
        </w:rPr>
        <w:t xml:space="preserve">HTML eBooks are provided on the corresponding MyLab site so that all students can access needed texts at the same place, at the same time, and at the same price. Students who will be using a Mathematics, Economics, or other quantitative title with a Windows screen reader need only to download the free Design Science MathPlayer. </w:t>
      </w:r>
    </w:p>
    <w:p w:rsidR="004E1405" w:rsidRDefault="00AA5BA1">
      <w:pPr>
        <w:numPr>
          <w:ilvl w:val="0"/>
          <w:numId w:val="2"/>
        </w:numPr>
        <w:spacing w:line="360" w:lineRule="auto"/>
        <w:ind w:left="940" w:hanging="360"/>
        <w:contextualSpacing/>
        <w:rPr>
          <w:rFonts w:ascii="Calibri" w:eastAsia="Calibri" w:hAnsi="Calibri" w:cs="Calibri"/>
        </w:rPr>
      </w:pPr>
      <w:r>
        <w:rPr>
          <w:rFonts w:ascii="Calibri" w:eastAsia="Calibri" w:hAnsi="Calibri" w:cs="Calibri"/>
          <w:color w:val="444444"/>
        </w:rPr>
        <w:t xml:space="preserve">To learn more about HTML eBooks, please email </w:t>
      </w:r>
      <w:r>
        <w:rPr>
          <w:rFonts w:ascii="Calibri" w:eastAsia="Calibri" w:hAnsi="Calibri" w:cs="Calibri"/>
          <w:color w:val="0000CC"/>
        </w:rPr>
        <w:t>disability.support@pearson.com</w:t>
      </w:r>
      <w:r>
        <w:rPr>
          <w:rFonts w:ascii="Calibri" w:eastAsia="Calibri" w:hAnsi="Calibri" w:cs="Calibri"/>
          <w:color w:val="444444"/>
        </w:rPr>
        <w:t>.</w:t>
      </w:r>
    </w:p>
    <w:p w:rsidR="004E1405" w:rsidRDefault="00AA5BA1">
      <w:pPr>
        <w:numPr>
          <w:ilvl w:val="0"/>
          <w:numId w:val="2"/>
        </w:numPr>
        <w:spacing w:line="360" w:lineRule="auto"/>
        <w:ind w:left="940" w:hanging="360"/>
        <w:contextualSpacing/>
        <w:rPr>
          <w:rFonts w:ascii="Calibri" w:eastAsia="Calibri" w:hAnsi="Calibri" w:cs="Calibri"/>
        </w:rPr>
      </w:pPr>
      <w:r>
        <w:rPr>
          <w:rFonts w:ascii="Calibri" w:eastAsia="Calibri" w:hAnsi="Calibri" w:cs="Calibri"/>
          <w:b/>
          <w:color w:val="444444"/>
        </w:rPr>
        <w:t>Pearson Guidelines for Accessible Educational Web Media.</w:t>
      </w:r>
      <w:r>
        <w:rPr>
          <w:rFonts w:ascii="Calibri" w:eastAsia="Calibri" w:hAnsi="Calibri" w:cs="Calibri"/>
          <w:color w:val="444444"/>
        </w:rPr>
        <w:t xml:space="preserve"> We gratefully acknowledge and endorse the work of the Web Accessibility Initiative of the World Wide Web consortium on the Web Content Accessibility Guidelines 2.0 (WCAG 2) as well as the work of United States Access Board and the Information Technology Advisory Committee (TEITAC) on their Section 508 Refresh Drafts. </w:t>
      </w:r>
      <w:hyperlink r:id="rId7">
        <w:r>
          <w:rPr>
            <w:color w:val="4285F4"/>
            <w:sz w:val="20"/>
            <w:szCs w:val="20"/>
            <w:highlight w:val="white"/>
          </w:rPr>
          <w:t>http://wps.pearsoned.com/accessibility/115/29601/7577872.cw/index.html</w:t>
        </w:r>
      </w:hyperlink>
    </w:p>
    <w:p w:rsidR="004E1405" w:rsidRDefault="00AA5BA1">
      <w:pPr>
        <w:numPr>
          <w:ilvl w:val="0"/>
          <w:numId w:val="2"/>
        </w:numPr>
        <w:spacing w:line="360" w:lineRule="auto"/>
        <w:ind w:left="940" w:hanging="360"/>
        <w:contextualSpacing/>
        <w:rPr>
          <w:rFonts w:ascii="Calibri" w:eastAsia="Calibri" w:hAnsi="Calibri" w:cs="Calibri"/>
        </w:rPr>
      </w:pPr>
      <w:r>
        <w:rPr>
          <w:rFonts w:ascii="Calibri" w:eastAsia="Calibri" w:hAnsi="Calibri" w:cs="Calibri"/>
          <w:color w:val="444444"/>
        </w:rPr>
        <w:lastRenderedPageBreak/>
        <w:t>To help our developers to follow these standards most effectively for educational content, we've created the Pearson Guidelines for Accessible Educational Web Media. These guidelines form the basis of our accessibility policies and efforts.</w:t>
      </w:r>
    </w:p>
    <w:p w:rsidR="004E1405" w:rsidRDefault="00AA5BA1">
      <w:pPr>
        <w:pStyle w:val="Heading3"/>
        <w:spacing w:line="360" w:lineRule="auto"/>
        <w:contextualSpacing w:val="0"/>
      </w:pPr>
      <w:bookmarkStart w:id="8" w:name="h.ho3f5vk20s9m" w:colFirst="0" w:colLast="0"/>
      <w:bookmarkEnd w:id="8"/>
      <w:r>
        <w:t>Our goal</w:t>
      </w:r>
    </w:p>
    <w:p w:rsidR="004E1405" w:rsidRDefault="00AA5BA1">
      <w:pPr>
        <w:spacing w:line="355" w:lineRule="auto"/>
      </w:pPr>
      <w:r>
        <w:rPr>
          <w:rFonts w:ascii="Calibri" w:eastAsia="Calibri" w:hAnsi="Calibri" w:cs="Calibri"/>
          <w:color w:val="444444"/>
        </w:rPr>
        <w:t xml:space="preserve">Pearson continues to make steady progress in developing our learning platforms, rich media assets, and indeed all content as accessible as possible to all of our customers. We regularly review our existing platforms and content to improve accessibility with each release. Please check this space for regular updates. Please direct any questions to </w:t>
      </w:r>
      <w:hyperlink r:id="rId8">
        <w:r>
          <w:rPr>
            <w:rFonts w:ascii="Calibri" w:eastAsia="Calibri" w:hAnsi="Calibri" w:cs="Calibri"/>
            <w:color w:val="1155CC"/>
            <w:u w:val="single"/>
          </w:rPr>
          <w:t>disability.support@pearson.com</w:t>
        </w:r>
      </w:hyperlink>
      <w:r>
        <w:rPr>
          <w:rFonts w:ascii="Calibri" w:eastAsia="Calibri" w:hAnsi="Calibri" w:cs="Calibri"/>
          <w:color w:val="444444"/>
        </w:rPr>
        <w:t>.</w:t>
      </w:r>
    </w:p>
    <w:p w:rsidR="004E1405" w:rsidRDefault="004E1405"/>
    <w:p w:rsidR="004E1405" w:rsidRDefault="00AA5BA1">
      <w:pPr>
        <w:pStyle w:val="Heading2"/>
        <w:contextualSpacing w:val="0"/>
      </w:pPr>
      <w:bookmarkStart w:id="9" w:name="h.939vhdb8mco" w:colFirst="0" w:colLast="0"/>
      <w:bookmarkEnd w:id="9"/>
      <w:r>
        <w:t>Pearson Global Accessibility Statement:</w:t>
      </w:r>
    </w:p>
    <w:p w:rsidR="004E1405" w:rsidRDefault="004607BB">
      <w:hyperlink r:id="rId9">
        <w:r w:rsidR="00AA5BA1">
          <w:rPr>
            <w:rFonts w:ascii="Calibri" w:eastAsia="Calibri" w:hAnsi="Calibri" w:cs="Calibri"/>
            <w:color w:val="1155CC"/>
            <w:highlight w:val="white"/>
            <w:u w:val="single"/>
          </w:rPr>
          <w:t>https://www.pearson.com/content/dam/corporate/global/pearson-dot-com/files/responsibility/Pearson_Statement_Accessibility_final_dec-2012.pdf</w:t>
        </w:r>
      </w:hyperlink>
    </w:p>
    <w:p w:rsidR="004E1405" w:rsidRDefault="004E1405"/>
    <w:p w:rsidR="004E1405" w:rsidRDefault="00AA5BA1">
      <w:r>
        <w:rPr>
          <w:rFonts w:ascii="Calibri" w:eastAsia="Calibri" w:hAnsi="Calibri" w:cs="Calibri"/>
          <w:color w:val="444444"/>
        </w:rPr>
        <w:t xml:space="preserve">At Pearson we aspire to help all people make progress in their lives through all kinds of learning. </w:t>
      </w:r>
    </w:p>
    <w:p w:rsidR="004E1405" w:rsidRDefault="004E1405"/>
    <w:p w:rsidR="004E1405" w:rsidRDefault="00AA5BA1">
      <w:r>
        <w:rPr>
          <w:rFonts w:ascii="Calibri" w:eastAsia="Calibri" w:hAnsi="Calibri" w:cs="Calibri"/>
          <w:color w:val="444444"/>
        </w:rPr>
        <w:t xml:space="preserve">Why – because learning is a passport to improved rates of employability, higher living standards, social mobility and increased levels of general well being within society. </w:t>
      </w:r>
    </w:p>
    <w:p w:rsidR="004E1405" w:rsidRDefault="004E1405"/>
    <w:p w:rsidR="004E1405" w:rsidRDefault="00AA5BA1">
      <w:r>
        <w:rPr>
          <w:rFonts w:ascii="Calibri" w:eastAsia="Calibri" w:hAnsi="Calibri" w:cs="Calibri"/>
          <w:color w:val="444444"/>
        </w:rPr>
        <w:t xml:space="preserve">Our approach towards accessibility is shaped both by our company values and purpose. We believe that every person should enjoy access to learning, regardless of disability. </w:t>
      </w:r>
    </w:p>
    <w:p w:rsidR="004E1405" w:rsidRDefault="004E1405"/>
    <w:p w:rsidR="004E1405" w:rsidRDefault="00AA5BA1">
      <w:r>
        <w:rPr>
          <w:rFonts w:ascii="Calibri" w:eastAsia="Calibri" w:hAnsi="Calibri" w:cs="Calibri"/>
          <w:color w:val="444444"/>
        </w:rPr>
        <w:t>Our goal is to reach a time when people who currently need additional help to access our products or are not able to do so can access the same or equivalent content, at the same time as everyone else and with similar ease of use.</w:t>
      </w:r>
    </w:p>
    <w:p w:rsidR="004E1405" w:rsidRDefault="004E1405"/>
    <w:p w:rsidR="004E1405" w:rsidRDefault="00AA5BA1">
      <w:r>
        <w:rPr>
          <w:rFonts w:ascii="Calibri" w:eastAsia="Calibri" w:hAnsi="Calibri" w:cs="Calibri"/>
          <w:color w:val="444444"/>
        </w:rPr>
        <w:t xml:space="preserve">Technology is helping us make progress towards that goal. This statement sets out the framework of commitments through which Pearson operating companies apply our approach to accessibility. These commitments are global in scope. </w:t>
      </w:r>
    </w:p>
    <w:p w:rsidR="004E1405" w:rsidRDefault="004E1405"/>
    <w:p w:rsidR="004E1405" w:rsidRDefault="00AA5BA1">
      <w:r>
        <w:rPr>
          <w:rFonts w:ascii="Calibri" w:eastAsia="Calibri" w:hAnsi="Calibri" w:cs="Calibri"/>
          <w:color w:val="444444"/>
        </w:rPr>
        <w:t xml:space="preserve">Standards </w:t>
      </w:r>
    </w:p>
    <w:p w:rsidR="004E1405" w:rsidRDefault="00AA5BA1">
      <w:r>
        <w:rPr>
          <w:rFonts w:ascii="Calibri" w:eastAsia="Calibri" w:hAnsi="Calibri" w:cs="Calibri"/>
          <w:color w:val="444444"/>
        </w:rPr>
        <w:t xml:space="preserve">Pearson plays an active role in contributing to the development of international guidelines, compliance and standards for accessibility. </w:t>
      </w:r>
    </w:p>
    <w:p w:rsidR="004E1405" w:rsidRDefault="004E1405"/>
    <w:p w:rsidR="004E1405" w:rsidRDefault="00AA5BA1">
      <w:r>
        <w:rPr>
          <w:rFonts w:ascii="Calibri" w:eastAsia="Calibri" w:hAnsi="Calibri" w:cs="Calibri"/>
          <w:color w:val="444444"/>
        </w:rPr>
        <w:t xml:space="preserve">Management </w:t>
      </w:r>
    </w:p>
    <w:p w:rsidR="004E1405" w:rsidRDefault="00AA5BA1">
      <w:r>
        <w:rPr>
          <w:rFonts w:ascii="Calibri" w:eastAsia="Calibri" w:hAnsi="Calibri" w:cs="Calibri"/>
          <w:color w:val="444444"/>
        </w:rPr>
        <w:t xml:space="preserve">Leaders on accessibility have been and will continue to be designated across Pearson’s businesses. Those leaders regularly collaborate with each other and will continue to do so. </w:t>
      </w:r>
    </w:p>
    <w:p w:rsidR="004E1405" w:rsidRDefault="004E1405"/>
    <w:p w:rsidR="004E1405" w:rsidRDefault="00AA5BA1">
      <w:r>
        <w:rPr>
          <w:rFonts w:ascii="Calibri" w:eastAsia="Calibri" w:hAnsi="Calibri" w:cs="Calibri"/>
          <w:color w:val="444444"/>
        </w:rPr>
        <w:t xml:space="preserve">Training </w:t>
      </w:r>
    </w:p>
    <w:p w:rsidR="004E1405" w:rsidRDefault="00AA5BA1">
      <w:r>
        <w:rPr>
          <w:rFonts w:ascii="Calibri" w:eastAsia="Calibri" w:hAnsi="Calibri" w:cs="Calibri"/>
          <w:color w:val="444444"/>
        </w:rPr>
        <w:t xml:space="preserve">Standard Pearson-wide training on accessibility issues is being implemented for all employees, relevant to their roles, national context and aligned with their skill-sets. </w:t>
      </w:r>
    </w:p>
    <w:p w:rsidR="004E1405" w:rsidRDefault="004E1405"/>
    <w:p w:rsidR="004E1405" w:rsidRDefault="004E1405"/>
    <w:p w:rsidR="004E1405" w:rsidRDefault="00AA5BA1">
      <w:r>
        <w:rPr>
          <w:rFonts w:ascii="Calibri" w:eastAsia="Calibri" w:hAnsi="Calibri" w:cs="Calibri"/>
          <w:color w:val="444444"/>
        </w:rPr>
        <w:t xml:space="preserve">Communication </w:t>
      </w:r>
    </w:p>
    <w:p w:rsidR="004E1405" w:rsidRDefault="00AA5BA1">
      <w:r>
        <w:rPr>
          <w:rFonts w:ascii="Calibri" w:eastAsia="Calibri" w:hAnsi="Calibri" w:cs="Calibri"/>
          <w:color w:val="444444"/>
        </w:rPr>
        <w:t xml:space="preserve">Effective communication is a vital part of Pearson’s approach to accessibility. Leaders share good practice, ongoing activities and results with their teams, across the business and with wider stakeholders. </w:t>
      </w:r>
    </w:p>
    <w:p w:rsidR="004E1405" w:rsidRDefault="004E1405"/>
    <w:p w:rsidR="004E1405" w:rsidRDefault="00AA5BA1">
      <w:r>
        <w:rPr>
          <w:rFonts w:ascii="Calibri" w:eastAsia="Calibri" w:hAnsi="Calibri" w:cs="Calibri"/>
          <w:color w:val="444444"/>
        </w:rPr>
        <w:t xml:space="preserve">Product and service development </w:t>
      </w:r>
    </w:p>
    <w:p w:rsidR="004E1405" w:rsidRDefault="00AA5BA1">
      <w:r>
        <w:rPr>
          <w:rFonts w:ascii="Calibri" w:eastAsia="Calibri" w:hAnsi="Calibri" w:cs="Calibri"/>
          <w:color w:val="444444"/>
        </w:rPr>
        <w:t xml:space="preserve">A concern for accessibility should be integral to the design of new products, technological processes and external services. Existing products must be evaluated and priorities set for improvement. </w:t>
      </w:r>
    </w:p>
    <w:p w:rsidR="004E1405" w:rsidRDefault="004E1405"/>
    <w:p w:rsidR="004E1405" w:rsidRDefault="00AA5BA1">
      <w:r>
        <w:rPr>
          <w:rFonts w:ascii="Calibri" w:eastAsia="Calibri" w:hAnsi="Calibri" w:cs="Calibri"/>
          <w:color w:val="444444"/>
        </w:rPr>
        <w:t xml:space="preserve">Integration </w:t>
      </w:r>
    </w:p>
    <w:p w:rsidR="004E1405" w:rsidRDefault="00AA5BA1">
      <w:r>
        <w:rPr>
          <w:rFonts w:ascii="Calibri" w:eastAsia="Calibri" w:hAnsi="Calibri" w:cs="Calibri"/>
          <w:color w:val="444444"/>
        </w:rPr>
        <w:t xml:space="preserve">Accessibility is integral to the Pearson brand and reflected in compliance; new product development and product-enhancement; outward service for users; and good internal communication on accessibility processes and workflows. </w:t>
      </w:r>
    </w:p>
    <w:sectPr w:rsidR="004E14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2EE"/>
    <w:multiLevelType w:val="multilevel"/>
    <w:tmpl w:val="F13E91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9D44B4"/>
    <w:multiLevelType w:val="multilevel"/>
    <w:tmpl w:val="EB7A3C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D805CDD"/>
    <w:multiLevelType w:val="multilevel"/>
    <w:tmpl w:val="A60E06E0"/>
    <w:lvl w:ilvl="0">
      <w:start w:val="1"/>
      <w:numFmt w:val="bullet"/>
      <w:lvlText w:val="●"/>
      <w:lvlJc w:val="left"/>
      <w:pPr>
        <w:ind w:left="720" w:firstLine="360"/>
      </w:pPr>
      <w:rPr>
        <w:rFonts w:ascii="Verdana" w:eastAsia="Verdana" w:hAnsi="Verdana" w:cs="Verdana"/>
        <w:color w:val="444444"/>
        <w:sz w:val="17"/>
        <w:szCs w:val="17"/>
        <w:u w:val="none"/>
        <w:shd w:val="clear" w:color="auto" w:fill="FBF5EA"/>
      </w:rPr>
    </w:lvl>
    <w:lvl w:ilvl="1">
      <w:start w:val="1"/>
      <w:numFmt w:val="bullet"/>
      <w:lvlText w:val="○"/>
      <w:lvlJc w:val="left"/>
      <w:pPr>
        <w:ind w:left="1440" w:firstLine="1080"/>
      </w:pPr>
      <w:rPr>
        <w:rFonts w:ascii="Verdana" w:eastAsia="Verdana" w:hAnsi="Verdana" w:cs="Verdana"/>
        <w:color w:val="444444"/>
        <w:sz w:val="17"/>
        <w:szCs w:val="17"/>
        <w:u w:val="none"/>
        <w:shd w:val="clear" w:color="auto" w:fill="FBF5EA"/>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05"/>
    <w:rsid w:val="004607BB"/>
    <w:rsid w:val="004E1405"/>
    <w:rsid w:val="00AA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06F32-F410-44C5-A3B3-3E94B1D1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upport@pearson.com" TargetMode="External"/><Relationship Id="rId3" Type="http://schemas.openxmlformats.org/officeDocument/2006/relationships/settings" Target="settings.xml"/><Relationship Id="rId7" Type="http://schemas.openxmlformats.org/officeDocument/2006/relationships/hyperlink" Target="http://wps.pearsoned.com/accessibility/115/29601/7577872.cw/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der.superlibrary.com/Comergent/en/US/adirect/pearson?cmd=DisabilityRequestForm" TargetMode="External"/><Relationship Id="rId11" Type="http://schemas.openxmlformats.org/officeDocument/2006/relationships/theme" Target="theme/theme1.xml"/><Relationship Id="rId5" Type="http://schemas.openxmlformats.org/officeDocument/2006/relationships/hyperlink" Target="http://www.pearsonhighered.com/educator/accessibility/index.pa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arson.com/content/dam/corporate/global/pearson-dot-com/files/responsibility/Pearson_Statement_Accessibility_final_dec-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Greenlee, Suzanne</dc:creator>
  <cp:lastModifiedBy>Johnston, Jonathan</cp:lastModifiedBy>
  <cp:revision>2</cp:revision>
  <dcterms:created xsi:type="dcterms:W3CDTF">2016-12-13T22:00:00Z</dcterms:created>
  <dcterms:modified xsi:type="dcterms:W3CDTF">2016-12-13T22:00:00Z</dcterms:modified>
</cp:coreProperties>
</file>