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241B0" w14:textId="3AA40AB8" w:rsidR="00F978BF" w:rsidRPr="00BD7296" w:rsidRDefault="00C90A27" w:rsidP="1FFA6553">
      <w:pPr>
        <w:pStyle w:val="Heading1"/>
        <w:spacing w:before="240" w:after="240" w:line="240" w:lineRule="auto"/>
        <w:jc w:val="center"/>
        <w:rPr>
          <w:rFonts w:ascii="Calibri" w:eastAsia="Calibri" w:hAnsi="Calibri" w:cs="Calibri"/>
          <w:b/>
          <w:bCs/>
          <w:color w:val="366091"/>
          <w:sz w:val="32"/>
          <w:szCs w:val="32"/>
        </w:rPr>
      </w:pPr>
      <w:bookmarkStart w:id="0" w:name="_hh7sfyp1z4u7"/>
      <w:bookmarkStart w:id="1" w:name="_GoBack"/>
      <w:bookmarkEnd w:id="0"/>
      <w:bookmarkEnd w:id="1"/>
      <w:r w:rsidRPr="1FFA6553">
        <w:rPr>
          <w:rFonts w:ascii="Calibri" w:eastAsia="Calibri" w:hAnsi="Calibri" w:cs="Calibri"/>
          <w:b/>
          <w:bCs/>
          <w:color w:val="366091"/>
          <w:sz w:val="32"/>
          <w:szCs w:val="32"/>
        </w:rPr>
        <w:t xml:space="preserve">Accessibility Conformance, Compliance and Remediation Form </w:t>
      </w:r>
    </w:p>
    <w:p w14:paraId="58DEAC5E" w14:textId="77777777" w:rsidR="00F978BF" w:rsidRPr="004D25D5" w:rsidRDefault="00C90A27" w:rsidP="004D25D5">
      <w:pPr>
        <w:pStyle w:val="Heading2"/>
      </w:pPr>
      <w:r w:rsidRPr="004D25D5">
        <w:rPr>
          <w:highlight w:val="white"/>
        </w:rPr>
        <w:t>At Pearson, we support every learner.</w:t>
      </w:r>
    </w:p>
    <w:p w14:paraId="399E92CC" w14:textId="03F4EB24" w:rsidR="00F978BF" w:rsidRDefault="00C90A27" w:rsidP="004D25D5">
      <w:pPr>
        <w:widowControl w:val="0"/>
        <w:rPr>
          <w:rFonts w:ascii="Open Sans" w:eastAsia="Open Sans" w:hAnsi="Open Sans" w:cs="Open Sans"/>
          <w:sz w:val="20"/>
          <w:szCs w:val="20"/>
        </w:rPr>
      </w:pPr>
      <w:r>
        <w:rPr>
          <w:rFonts w:ascii="Open Sans" w:eastAsia="Open Sans" w:hAnsi="Open Sans" w:cs="Open Sans"/>
          <w:sz w:val="20"/>
          <w:szCs w:val="20"/>
        </w:rPr>
        <w:t>Pearson’s defining goal — to help people make progress in their lives through learning — can only be fulfilled when our educational materials are accessible to all users.</w:t>
      </w:r>
    </w:p>
    <w:p w14:paraId="13726D42" w14:textId="77777777" w:rsidR="00F978BF" w:rsidRPr="004D25D5" w:rsidRDefault="00C90A27" w:rsidP="004D25D5">
      <w:pPr>
        <w:pStyle w:val="Heading3"/>
      </w:pPr>
      <w:r w:rsidRPr="004D25D5">
        <w:t xml:space="preserve">Our commitment </w:t>
      </w:r>
    </w:p>
    <w:p w14:paraId="404409D3" w14:textId="0D12D748" w:rsidR="00F978BF" w:rsidRPr="004D25D5" w:rsidRDefault="00C90A27" w:rsidP="004D25D5">
      <w:pPr>
        <w:widowControl w:val="0"/>
        <w:rPr>
          <w:rFonts w:ascii="Open Sans" w:eastAsia="Open Sans" w:hAnsi="Open Sans" w:cs="Open Sans"/>
          <w:sz w:val="20"/>
          <w:szCs w:val="20"/>
        </w:rPr>
      </w:pPr>
      <w:r>
        <w:rPr>
          <w:rFonts w:ascii="Open Sans" w:eastAsia="Open Sans" w:hAnsi="Open Sans" w:cs="Open Sans"/>
          <w:sz w:val="20"/>
          <w:szCs w:val="20"/>
        </w:rPr>
        <w:t xml:space="preserve">Accessibility and achievement go hand in hand. We are committed to enabling access for people with disabilities as part of the fabric of our learning materials, development processes, innovation efforts, and employee culture. Our goal is to ensure that all students can learn from our products and demonstrate that learning. </w:t>
      </w:r>
    </w:p>
    <w:p w14:paraId="0D39C849" w14:textId="77777777" w:rsidR="00F978BF" w:rsidRDefault="00C90A27" w:rsidP="004D25D5">
      <w:pPr>
        <w:pStyle w:val="Heading3"/>
      </w:pPr>
      <w:r>
        <w:t xml:space="preserve">Our standards &amp; progress </w:t>
      </w:r>
    </w:p>
    <w:p w14:paraId="37ADEB0F" w14:textId="1E2FAAE4" w:rsidR="00F978BF" w:rsidRDefault="00C90A27">
      <w:pPr>
        <w:widowControl w:val="0"/>
        <w:rPr>
          <w:rFonts w:ascii="Open Sans" w:eastAsia="Open Sans" w:hAnsi="Open Sans" w:cs="Open Sans"/>
          <w:sz w:val="20"/>
          <w:szCs w:val="20"/>
          <w:highlight w:val="white"/>
        </w:rPr>
      </w:pPr>
      <w:r w:rsidRPr="1FFA6553">
        <w:rPr>
          <w:rFonts w:ascii="Open Sans" w:eastAsia="Open Sans" w:hAnsi="Open Sans" w:cs="Open Sans"/>
          <w:sz w:val="20"/>
          <w:szCs w:val="20"/>
        </w:rPr>
        <w:t>Pearson continues to make steady progress in developing our learning platforms, rich media assets, and other content to be as accessible as possible to all of our customers. WCAG 2.</w:t>
      </w:r>
      <w:r w:rsidR="6FB8F613" w:rsidRPr="1FFA6553">
        <w:rPr>
          <w:rFonts w:ascii="Open Sans" w:eastAsia="Open Sans" w:hAnsi="Open Sans" w:cs="Open Sans"/>
          <w:sz w:val="20"/>
          <w:szCs w:val="20"/>
        </w:rPr>
        <w:t>1</w:t>
      </w:r>
      <w:r w:rsidRPr="1FFA6553">
        <w:rPr>
          <w:rFonts w:ascii="Open Sans" w:eastAsia="Open Sans" w:hAnsi="Open Sans" w:cs="Open Sans"/>
          <w:sz w:val="20"/>
          <w:szCs w:val="20"/>
        </w:rPr>
        <w:t xml:space="preserve"> AA standards form the basis of the Pearson Accessibility Guidelines for product development, and w</w:t>
      </w:r>
      <w:r w:rsidRPr="1FFA6553">
        <w:rPr>
          <w:rFonts w:ascii="Open Sans" w:eastAsia="Open Sans" w:hAnsi="Open Sans" w:cs="Open Sans"/>
          <w:sz w:val="20"/>
          <w:szCs w:val="20"/>
          <w:highlight w:val="white"/>
        </w:rPr>
        <w:t xml:space="preserve">e regularly review our existing platforms and content to improve accessibility with each release.  </w:t>
      </w:r>
      <w:r w:rsidRPr="1FFA6553">
        <w:rPr>
          <w:rFonts w:ascii="Open Sans" w:eastAsia="Open Sans" w:hAnsi="Open Sans" w:cs="Open Sans"/>
          <w:sz w:val="20"/>
          <w:szCs w:val="20"/>
        </w:rPr>
        <w:t xml:space="preserve">We provide up-to-date, clear and straightforward statements on the accessibility of our products. </w:t>
      </w:r>
    </w:p>
    <w:p w14:paraId="261F7C56" w14:textId="77777777" w:rsidR="00F978BF" w:rsidRDefault="00C90A27" w:rsidP="00256064">
      <w:pPr>
        <w:pStyle w:val="Heading2"/>
      </w:pPr>
      <w:r>
        <w:t>The Accessibility Conformance, Compliance and Remediation Form</w:t>
      </w:r>
    </w:p>
    <w:p w14:paraId="7468F711" w14:textId="77777777" w:rsidR="00F978BF" w:rsidRDefault="00C90A27" w:rsidP="1FFA6553">
      <w:pPr>
        <w:rPr>
          <w:rFonts w:ascii="Open Sans" w:eastAsia="Open Sans" w:hAnsi="Open Sans" w:cs="Open Sans"/>
          <w:b/>
          <w:bCs/>
          <w:sz w:val="20"/>
          <w:szCs w:val="20"/>
        </w:rPr>
      </w:pPr>
      <w:r w:rsidRPr="1FFA6553">
        <w:rPr>
          <w:rFonts w:ascii="Open Sans" w:eastAsia="Open Sans" w:hAnsi="Open Sans" w:cs="Open Sans"/>
          <w:sz w:val="20"/>
          <w:szCs w:val="20"/>
        </w:rPr>
        <w:t>This form lists the current accessibility gaps in Pearson titles you are considering or have adopted for your course.  Issues listed have been confirmed during Pearson’s standard accessibility testing process</w:t>
      </w:r>
    </w:p>
    <w:p w14:paraId="16B88648" w14:textId="26D98B26" w:rsidR="00F978BF" w:rsidRPr="004D25D5" w:rsidRDefault="00C90A27" w:rsidP="00C43F9E">
      <w:pPr>
        <w:pStyle w:val="Heading3"/>
      </w:pPr>
      <w:r w:rsidRPr="004D25D5">
        <w:t>Information presented in table below includes:</w:t>
      </w:r>
    </w:p>
    <w:p w14:paraId="4004238A" w14:textId="77777777" w:rsidR="00F978BF" w:rsidRDefault="00C90A27">
      <w:pPr>
        <w:numPr>
          <w:ilvl w:val="0"/>
          <w:numId w:val="1"/>
        </w:numPr>
        <w:spacing w:before="120" w:after="120" w:line="240" w:lineRule="auto"/>
        <w:rPr>
          <w:rFonts w:ascii="Open Sans" w:eastAsia="Open Sans" w:hAnsi="Open Sans" w:cs="Open Sans"/>
          <w:b/>
        </w:rPr>
      </w:pPr>
      <w:r>
        <w:rPr>
          <w:rFonts w:ascii="Open Sans" w:eastAsia="Open Sans" w:hAnsi="Open Sans" w:cs="Open Sans"/>
          <w:b/>
        </w:rPr>
        <w:t>Status of gaps in accessibility for this title:</w:t>
      </w:r>
    </w:p>
    <w:p w14:paraId="79D4457D" w14:textId="77777777" w:rsidR="00F978BF" w:rsidRPr="000D12DE" w:rsidRDefault="00C90A27" w:rsidP="1FFA6553">
      <w:pPr>
        <w:pStyle w:val="ListParagraph"/>
        <w:numPr>
          <w:ilvl w:val="1"/>
          <w:numId w:val="1"/>
        </w:numPr>
        <w:spacing w:before="120" w:after="120" w:line="240" w:lineRule="auto"/>
        <w:rPr>
          <w:rFonts w:ascii="Open Sans" w:eastAsia="Open Sans" w:hAnsi="Open Sans" w:cs="Open Sans"/>
          <w:sz w:val="20"/>
          <w:szCs w:val="20"/>
        </w:rPr>
      </w:pPr>
      <w:r w:rsidRPr="1FFA6553">
        <w:rPr>
          <w:rFonts w:ascii="Open Sans" w:eastAsia="Open Sans" w:hAnsi="Open Sans" w:cs="Open Sans"/>
          <w:sz w:val="20"/>
          <w:szCs w:val="20"/>
        </w:rPr>
        <w:t>Open: The issue is under investigation or in remediation</w:t>
      </w:r>
    </w:p>
    <w:p w14:paraId="5F7ABCE0" w14:textId="77777777" w:rsidR="00F978BF" w:rsidRPr="000D12DE" w:rsidRDefault="00C90A27" w:rsidP="1FFA6553">
      <w:pPr>
        <w:pStyle w:val="ListParagraph"/>
        <w:numPr>
          <w:ilvl w:val="1"/>
          <w:numId w:val="1"/>
        </w:numPr>
        <w:spacing w:before="120" w:after="120" w:line="240" w:lineRule="auto"/>
        <w:rPr>
          <w:rFonts w:ascii="Open Sans" w:eastAsia="Open Sans" w:hAnsi="Open Sans" w:cs="Open Sans"/>
          <w:sz w:val="20"/>
          <w:szCs w:val="20"/>
        </w:rPr>
      </w:pPr>
      <w:r w:rsidRPr="1FFA6553">
        <w:rPr>
          <w:rFonts w:ascii="Open Sans" w:eastAsia="Open Sans" w:hAnsi="Open Sans" w:cs="Open Sans"/>
          <w:sz w:val="20"/>
          <w:szCs w:val="20"/>
        </w:rPr>
        <w:t xml:space="preserve">Closed: The issue was resolved with the latest product release </w:t>
      </w:r>
      <w:proofErr w:type="gramStart"/>
      <w:r w:rsidRPr="1FFA6553">
        <w:rPr>
          <w:rFonts w:ascii="Open Sans" w:eastAsia="Open Sans" w:hAnsi="Open Sans" w:cs="Open Sans"/>
          <w:sz w:val="20"/>
          <w:szCs w:val="20"/>
        </w:rPr>
        <w:t>in  [</w:t>
      </w:r>
      <w:proofErr w:type="gramEnd"/>
      <w:r w:rsidRPr="1FFA6553">
        <w:rPr>
          <w:rFonts w:ascii="Open Sans" w:eastAsia="Open Sans" w:hAnsi="Open Sans" w:cs="Open Sans"/>
          <w:sz w:val="20"/>
          <w:szCs w:val="20"/>
        </w:rPr>
        <w:t>mm/year].</w:t>
      </w:r>
    </w:p>
    <w:p w14:paraId="3AB21FFA" w14:textId="4960DA96" w:rsidR="00F978BF" w:rsidRPr="000D12DE" w:rsidRDefault="00C90A27" w:rsidP="1FFA6553">
      <w:pPr>
        <w:pStyle w:val="ListParagraph"/>
        <w:numPr>
          <w:ilvl w:val="1"/>
          <w:numId w:val="1"/>
        </w:numPr>
        <w:pBdr>
          <w:top w:val="nil"/>
          <w:left w:val="nil"/>
          <w:bottom w:val="nil"/>
          <w:right w:val="nil"/>
          <w:between w:val="nil"/>
        </w:pBdr>
        <w:spacing w:before="120" w:after="120" w:line="240" w:lineRule="auto"/>
        <w:rPr>
          <w:rFonts w:ascii="Open Sans" w:eastAsia="Open Sans" w:hAnsi="Open Sans" w:cs="Open Sans"/>
          <w:sz w:val="20"/>
          <w:szCs w:val="20"/>
        </w:rPr>
      </w:pPr>
      <w:r w:rsidRPr="1FFA6553">
        <w:rPr>
          <w:rFonts w:ascii="Open Sans" w:eastAsia="Open Sans" w:hAnsi="Open Sans" w:cs="Open Sans"/>
          <w:sz w:val="20"/>
          <w:szCs w:val="20"/>
        </w:rPr>
        <w:t>Deferred: The issue will NOT be fixed in current edition.</w:t>
      </w:r>
    </w:p>
    <w:p w14:paraId="29644198" w14:textId="3B5EA52F" w:rsidR="00F978BF" w:rsidRPr="004D25D5" w:rsidRDefault="00C90A27" w:rsidP="004D25D5">
      <w:pPr>
        <w:numPr>
          <w:ilvl w:val="0"/>
          <w:numId w:val="2"/>
        </w:numPr>
        <w:spacing w:before="120" w:after="120" w:line="240" w:lineRule="auto"/>
        <w:rPr>
          <w:rFonts w:ascii="Calibri" w:eastAsia="Calibri" w:hAnsi="Calibri" w:cs="Calibri"/>
        </w:rPr>
      </w:pPr>
      <w:r w:rsidRPr="1FFA6553">
        <w:rPr>
          <w:rFonts w:ascii="Open Sans" w:eastAsia="Open Sans" w:hAnsi="Open Sans" w:cs="Open Sans"/>
          <w:b/>
          <w:bCs/>
        </w:rPr>
        <w:t>Remediation Timeline:</w:t>
      </w:r>
      <w:r w:rsidRPr="1FFA6553">
        <w:rPr>
          <w:rFonts w:ascii="Open Sans" w:eastAsia="Open Sans" w:hAnsi="Open Sans" w:cs="Open Sans"/>
        </w:rPr>
        <w:t xml:space="preserve">  </w:t>
      </w:r>
      <w:r w:rsidRPr="1FFA6553">
        <w:rPr>
          <w:rFonts w:ascii="Open Sans" w:eastAsia="Open Sans" w:hAnsi="Open Sans" w:cs="Open Sans"/>
          <w:sz w:val="20"/>
          <w:szCs w:val="20"/>
        </w:rPr>
        <w:t>Target date for resolution of issue.</w:t>
      </w:r>
    </w:p>
    <w:p w14:paraId="77ED2D8D" w14:textId="675CD226" w:rsidR="00BD7296" w:rsidRPr="00E9512B" w:rsidRDefault="00C90A27" w:rsidP="00E9512B">
      <w:pPr>
        <w:numPr>
          <w:ilvl w:val="0"/>
          <w:numId w:val="4"/>
        </w:numPr>
        <w:spacing w:before="120" w:after="120" w:line="240" w:lineRule="auto"/>
        <w:rPr>
          <w:rFonts w:ascii="Open Sans" w:eastAsia="Open Sans" w:hAnsi="Open Sans" w:cs="Open Sans"/>
          <w:b/>
        </w:rPr>
      </w:pPr>
      <w:r>
        <w:rPr>
          <w:rFonts w:ascii="Open Sans" w:eastAsia="Open Sans" w:hAnsi="Open Sans" w:cs="Open Sans"/>
          <w:b/>
        </w:rPr>
        <w:t>Recommendations / Available Workarounds (if available)</w:t>
      </w:r>
    </w:p>
    <w:p w14:paraId="108E342D" w14:textId="77777777" w:rsidR="00E9512B" w:rsidRDefault="00E9512B">
      <w:pPr>
        <w:rPr>
          <w:rFonts w:ascii="Open Sans" w:hAnsi="Open Sans"/>
          <w:b/>
          <w:sz w:val="24"/>
          <w:szCs w:val="24"/>
        </w:rPr>
      </w:pPr>
      <w:r>
        <w:br w:type="page"/>
      </w:r>
    </w:p>
    <w:p w14:paraId="7E3C5CD2" w14:textId="6EF6E3CD" w:rsidR="00F978BF" w:rsidRDefault="00C90A27" w:rsidP="004D25D5">
      <w:pPr>
        <w:pStyle w:val="Heading2"/>
      </w:pPr>
      <w:r>
        <w:lastRenderedPageBreak/>
        <w:t>Product Information</w:t>
      </w:r>
    </w:p>
    <w:p w14:paraId="592A3403" w14:textId="1B6413A8" w:rsidR="004D25D5" w:rsidRPr="00C90A27" w:rsidRDefault="004D25D5" w:rsidP="004D25D5">
      <w:pPr>
        <w:spacing w:line="360" w:lineRule="auto"/>
      </w:pPr>
      <w:r w:rsidRPr="00C90A27">
        <w:t>Publisher: Pearson</w:t>
      </w:r>
    </w:p>
    <w:p w14:paraId="0A2D4637" w14:textId="164BBF48" w:rsidR="004D25D5" w:rsidRPr="00C90A27" w:rsidRDefault="004D25D5" w:rsidP="004D25D5">
      <w:pPr>
        <w:spacing w:line="360" w:lineRule="auto"/>
      </w:pPr>
      <w:r w:rsidRPr="00C90A27">
        <w:t>Product Title:</w:t>
      </w:r>
      <w:r w:rsidR="000F73AD">
        <w:t xml:space="preserve"> </w:t>
      </w:r>
      <w:r w:rsidR="00445C70">
        <w:t>Bullard, Creating Environments for Learning</w:t>
      </w:r>
    </w:p>
    <w:p w14:paraId="18135FB0" w14:textId="70E8C631" w:rsidR="004D25D5" w:rsidRPr="00C90A27" w:rsidRDefault="004D25D5" w:rsidP="004D25D5">
      <w:pPr>
        <w:spacing w:line="360" w:lineRule="auto"/>
      </w:pPr>
      <w:r w:rsidRPr="00C90A27">
        <w:t>Product URL:</w:t>
      </w:r>
    </w:p>
    <w:p w14:paraId="3938283E" w14:textId="75936A80" w:rsidR="000F73AD" w:rsidRDefault="004D25D5" w:rsidP="004D25D5">
      <w:pPr>
        <w:spacing w:line="360" w:lineRule="auto"/>
      </w:pPr>
      <w:r w:rsidRPr="00C90A27">
        <w:t>ISBN:</w:t>
      </w:r>
      <w:r w:rsidR="000F73AD">
        <w:t xml:space="preserve"> </w:t>
      </w:r>
      <w:proofErr w:type="spellStart"/>
      <w:r w:rsidR="000F73AD">
        <w:t>eText</w:t>
      </w:r>
      <w:proofErr w:type="spellEnd"/>
      <w:r w:rsidR="000F73AD">
        <w:t xml:space="preserve"> </w:t>
      </w:r>
      <w:r w:rsidR="000F73AD" w:rsidRPr="000F73AD">
        <w:t>9780134014630</w:t>
      </w:r>
    </w:p>
    <w:p w14:paraId="4F76C0FE" w14:textId="5E0CDF28" w:rsidR="004D25D5" w:rsidRPr="00C90A27" w:rsidRDefault="004D25D5" w:rsidP="004D25D5">
      <w:pPr>
        <w:spacing w:line="360" w:lineRule="auto"/>
      </w:pPr>
      <w:r w:rsidRPr="00C90A27">
        <w:t>Form Completion Date:</w:t>
      </w:r>
      <w:r w:rsidR="000F73AD">
        <w:t xml:space="preserve"> 10/18/2021</w:t>
      </w:r>
    </w:p>
    <w:p w14:paraId="6564D3BC" w14:textId="5B66369D" w:rsidR="00F978BF" w:rsidRPr="004D25D5" w:rsidRDefault="004D25D5" w:rsidP="004D25D5">
      <w:pPr>
        <w:spacing w:line="360" w:lineRule="auto"/>
      </w:pPr>
      <w:r w:rsidRPr="00C90A27">
        <w:t xml:space="preserve">Contact: </w:t>
      </w:r>
      <w:hyperlink r:id="rId8" w:history="1">
        <w:r w:rsidRPr="00C6495F">
          <w:rPr>
            <w:rStyle w:val="Hyperlink"/>
          </w:rPr>
          <w:t>disability.support@pearson.com</w:t>
        </w:r>
      </w:hyperlink>
      <w:r>
        <w:t xml:space="preserve"> </w:t>
      </w:r>
    </w:p>
    <w:p w14:paraId="681BB813" w14:textId="77777777" w:rsidR="00F978BF" w:rsidRDefault="00C90A27" w:rsidP="004D25D5">
      <w:pPr>
        <w:pStyle w:val="Heading2"/>
      </w:pPr>
      <w:r>
        <w:t>Issues:</w:t>
      </w:r>
    </w:p>
    <w:tbl>
      <w:tblPr>
        <w:tblStyle w:val="TableGrid"/>
        <w:tblW w:w="9450" w:type="dxa"/>
        <w:tblInd w:w="115" w:type="dxa"/>
        <w:tblLayout w:type="fixed"/>
        <w:tblLook w:val="06A0" w:firstRow="1" w:lastRow="0" w:firstColumn="1" w:lastColumn="0" w:noHBand="1" w:noVBand="1"/>
      </w:tblPr>
      <w:tblGrid>
        <w:gridCol w:w="1890"/>
        <w:gridCol w:w="1170"/>
        <w:gridCol w:w="1530"/>
        <w:gridCol w:w="2070"/>
        <w:gridCol w:w="2790"/>
      </w:tblGrid>
      <w:tr w:rsidR="00F978BF" w14:paraId="2155F3FA" w14:textId="77777777" w:rsidTr="2B2C52B3">
        <w:trPr>
          <w:trHeight w:val="860"/>
        </w:trPr>
        <w:tc>
          <w:tcPr>
            <w:tcW w:w="1890" w:type="dxa"/>
            <w:shd w:val="clear" w:color="auto" w:fill="F2F2F2" w:themeFill="background1" w:themeFillShade="F2"/>
          </w:tcPr>
          <w:p w14:paraId="0A71A1F9" w14:textId="77777777" w:rsidR="00F978BF" w:rsidRDefault="00C90A27" w:rsidP="2B2C52B3">
            <w:pPr>
              <w:rPr>
                <w:b/>
                <w:bCs/>
              </w:rPr>
            </w:pPr>
            <w:r w:rsidRPr="2B2C52B3">
              <w:rPr>
                <w:rFonts w:ascii="Calibri" w:eastAsia="Calibri" w:hAnsi="Calibri" w:cs="Calibri"/>
                <w:b/>
                <w:bCs/>
              </w:rPr>
              <w:t>Issue Description</w:t>
            </w:r>
          </w:p>
        </w:tc>
        <w:tc>
          <w:tcPr>
            <w:tcW w:w="1170" w:type="dxa"/>
            <w:shd w:val="clear" w:color="auto" w:fill="F2F2F2" w:themeFill="background1" w:themeFillShade="F2"/>
          </w:tcPr>
          <w:p w14:paraId="445F849B" w14:textId="77777777" w:rsidR="00F978BF" w:rsidRDefault="00C90A27" w:rsidP="2B2C52B3">
            <w:pPr>
              <w:rPr>
                <w:b/>
                <w:bCs/>
              </w:rPr>
            </w:pPr>
            <w:r w:rsidRPr="2B2C52B3">
              <w:rPr>
                <w:rFonts w:ascii="Calibri" w:eastAsia="Calibri" w:hAnsi="Calibri" w:cs="Calibri"/>
                <w:b/>
                <w:bCs/>
              </w:rPr>
              <w:t>Status</w:t>
            </w:r>
            <w:r>
              <w:br/>
            </w:r>
          </w:p>
        </w:tc>
        <w:tc>
          <w:tcPr>
            <w:tcW w:w="1530" w:type="dxa"/>
            <w:shd w:val="clear" w:color="auto" w:fill="F2F2F2" w:themeFill="background1" w:themeFillShade="F2"/>
          </w:tcPr>
          <w:p w14:paraId="1F6EFC29" w14:textId="77777777" w:rsidR="00F978BF" w:rsidRDefault="00C90A27" w:rsidP="2B2C52B3">
            <w:pPr>
              <w:rPr>
                <w:b/>
                <w:bCs/>
              </w:rPr>
            </w:pPr>
            <w:r w:rsidRPr="2B2C52B3">
              <w:rPr>
                <w:rFonts w:ascii="Calibri" w:eastAsia="Calibri" w:hAnsi="Calibri" w:cs="Calibri"/>
                <w:b/>
                <w:bCs/>
              </w:rPr>
              <w:t>Remediation Timeline</w:t>
            </w:r>
          </w:p>
        </w:tc>
        <w:tc>
          <w:tcPr>
            <w:tcW w:w="2070" w:type="dxa"/>
            <w:shd w:val="clear" w:color="auto" w:fill="F2F2F2" w:themeFill="background1" w:themeFillShade="F2"/>
          </w:tcPr>
          <w:p w14:paraId="7FCC802A" w14:textId="77777777" w:rsidR="00F978BF" w:rsidRDefault="00C90A27" w:rsidP="2B2C52B3">
            <w:pPr>
              <w:rPr>
                <w:b/>
                <w:bCs/>
              </w:rPr>
            </w:pPr>
            <w:r w:rsidRPr="2B2C52B3">
              <w:rPr>
                <w:rFonts w:ascii="Calibri" w:eastAsia="Calibri" w:hAnsi="Calibri" w:cs="Calibri"/>
                <w:b/>
                <w:bCs/>
              </w:rPr>
              <w:t>Recommendation / Available Workarounds</w:t>
            </w:r>
          </w:p>
        </w:tc>
        <w:tc>
          <w:tcPr>
            <w:tcW w:w="2790" w:type="dxa"/>
            <w:shd w:val="clear" w:color="auto" w:fill="F2F2F2" w:themeFill="background1" w:themeFillShade="F2"/>
          </w:tcPr>
          <w:p w14:paraId="635DD234" w14:textId="77777777" w:rsidR="00F978BF" w:rsidRDefault="00C90A27" w:rsidP="2B2C52B3">
            <w:pPr>
              <w:rPr>
                <w:b/>
                <w:bCs/>
              </w:rPr>
            </w:pPr>
            <w:r w:rsidRPr="2B2C52B3">
              <w:rPr>
                <w:rFonts w:ascii="Calibri" w:eastAsia="Calibri" w:hAnsi="Calibri" w:cs="Calibri"/>
                <w:b/>
                <w:bCs/>
              </w:rPr>
              <w:t>Comments</w:t>
            </w:r>
          </w:p>
        </w:tc>
      </w:tr>
      <w:tr w:rsidR="00F978BF" w14:paraId="754F2398" w14:textId="77777777" w:rsidTr="2B2C52B3">
        <w:tc>
          <w:tcPr>
            <w:tcW w:w="1890" w:type="dxa"/>
          </w:tcPr>
          <w:p w14:paraId="797D848D" w14:textId="5302C514" w:rsidR="00F978BF" w:rsidRDefault="00F978BF"/>
        </w:tc>
        <w:tc>
          <w:tcPr>
            <w:tcW w:w="1170" w:type="dxa"/>
          </w:tcPr>
          <w:p w14:paraId="5F53010B" w14:textId="2C4F6250" w:rsidR="00F978BF" w:rsidRDefault="00F978BF"/>
        </w:tc>
        <w:tc>
          <w:tcPr>
            <w:tcW w:w="1530" w:type="dxa"/>
          </w:tcPr>
          <w:p w14:paraId="0E5BEB86" w14:textId="77777777" w:rsidR="00F978BF" w:rsidRDefault="00F978BF"/>
        </w:tc>
        <w:tc>
          <w:tcPr>
            <w:tcW w:w="2070" w:type="dxa"/>
          </w:tcPr>
          <w:p w14:paraId="77673610" w14:textId="77777777" w:rsidR="00F978BF" w:rsidRDefault="00F978BF">
            <w:pPr>
              <w:rPr>
                <w:b/>
                <w:color w:val="FF0000"/>
                <w:highlight w:val="yellow"/>
              </w:rPr>
            </w:pPr>
          </w:p>
        </w:tc>
        <w:tc>
          <w:tcPr>
            <w:tcW w:w="2790" w:type="dxa"/>
          </w:tcPr>
          <w:p w14:paraId="4D920177" w14:textId="77777777" w:rsidR="00F978BF" w:rsidRDefault="00F978BF">
            <w:pPr>
              <w:spacing w:before="120"/>
            </w:pPr>
          </w:p>
        </w:tc>
      </w:tr>
      <w:tr w:rsidR="00F978BF" w14:paraId="7273D6B4" w14:textId="77777777" w:rsidTr="2B2C52B3">
        <w:tc>
          <w:tcPr>
            <w:tcW w:w="1890" w:type="dxa"/>
          </w:tcPr>
          <w:p w14:paraId="78157799" w14:textId="6EB28E1C" w:rsidR="00F978BF" w:rsidRDefault="00F978BF"/>
        </w:tc>
        <w:tc>
          <w:tcPr>
            <w:tcW w:w="1170" w:type="dxa"/>
          </w:tcPr>
          <w:p w14:paraId="6A9A32AC" w14:textId="77777777" w:rsidR="00F978BF" w:rsidRDefault="00F978BF"/>
        </w:tc>
        <w:tc>
          <w:tcPr>
            <w:tcW w:w="1530" w:type="dxa"/>
          </w:tcPr>
          <w:p w14:paraId="3896E7B2" w14:textId="77777777" w:rsidR="00F978BF" w:rsidRDefault="00F978BF"/>
        </w:tc>
        <w:tc>
          <w:tcPr>
            <w:tcW w:w="2070" w:type="dxa"/>
          </w:tcPr>
          <w:p w14:paraId="10437122" w14:textId="77777777" w:rsidR="00F978BF" w:rsidRDefault="00F978BF">
            <w:pPr>
              <w:rPr>
                <w:b/>
                <w:color w:val="FF0000"/>
                <w:highlight w:val="yellow"/>
              </w:rPr>
            </w:pPr>
          </w:p>
        </w:tc>
        <w:tc>
          <w:tcPr>
            <w:tcW w:w="2790" w:type="dxa"/>
          </w:tcPr>
          <w:p w14:paraId="0657D430" w14:textId="77777777" w:rsidR="00F978BF" w:rsidRDefault="00F978BF">
            <w:pPr>
              <w:rPr>
                <w:color w:val="FF0000"/>
              </w:rPr>
            </w:pPr>
          </w:p>
        </w:tc>
      </w:tr>
      <w:tr w:rsidR="00F978BF" w14:paraId="0E730C97" w14:textId="77777777" w:rsidTr="2B2C52B3">
        <w:tc>
          <w:tcPr>
            <w:tcW w:w="1890" w:type="dxa"/>
          </w:tcPr>
          <w:p w14:paraId="6100AA1B" w14:textId="77777777" w:rsidR="00F978BF" w:rsidRDefault="00F978BF"/>
        </w:tc>
        <w:tc>
          <w:tcPr>
            <w:tcW w:w="1170" w:type="dxa"/>
          </w:tcPr>
          <w:p w14:paraId="718AAB3E" w14:textId="77777777" w:rsidR="00F978BF" w:rsidRDefault="00F978BF"/>
        </w:tc>
        <w:tc>
          <w:tcPr>
            <w:tcW w:w="1530" w:type="dxa"/>
          </w:tcPr>
          <w:p w14:paraId="6FD856C4" w14:textId="77777777" w:rsidR="00F978BF" w:rsidRDefault="00F978BF"/>
        </w:tc>
        <w:tc>
          <w:tcPr>
            <w:tcW w:w="2070" w:type="dxa"/>
          </w:tcPr>
          <w:p w14:paraId="5985971C" w14:textId="77777777" w:rsidR="00F978BF" w:rsidRDefault="00F978BF">
            <w:pPr>
              <w:rPr>
                <w:b/>
                <w:color w:val="FF0000"/>
                <w:highlight w:val="yellow"/>
              </w:rPr>
            </w:pPr>
          </w:p>
        </w:tc>
        <w:tc>
          <w:tcPr>
            <w:tcW w:w="2790" w:type="dxa"/>
          </w:tcPr>
          <w:p w14:paraId="7502FB63" w14:textId="77777777" w:rsidR="00F978BF" w:rsidRDefault="00F978BF"/>
        </w:tc>
      </w:tr>
      <w:tr w:rsidR="00F978BF" w14:paraId="1B4A58D9" w14:textId="77777777" w:rsidTr="2B2C52B3">
        <w:tc>
          <w:tcPr>
            <w:tcW w:w="1890" w:type="dxa"/>
          </w:tcPr>
          <w:p w14:paraId="6EB6A7A3" w14:textId="77777777" w:rsidR="00F978BF" w:rsidRDefault="00F978BF"/>
        </w:tc>
        <w:tc>
          <w:tcPr>
            <w:tcW w:w="1170" w:type="dxa"/>
          </w:tcPr>
          <w:p w14:paraId="704A0D8D" w14:textId="77777777" w:rsidR="00F978BF" w:rsidRDefault="00F978BF"/>
        </w:tc>
        <w:tc>
          <w:tcPr>
            <w:tcW w:w="1530" w:type="dxa"/>
          </w:tcPr>
          <w:p w14:paraId="63F6C571" w14:textId="77777777" w:rsidR="00F978BF" w:rsidRDefault="00F978BF"/>
        </w:tc>
        <w:tc>
          <w:tcPr>
            <w:tcW w:w="2070" w:type="dxa"/>
          </w:tcPr>
          <w:p w14:paraId="0D017D8F" w14:textId="77777777" w:rsidR="00F978BF" w:rsidRDefault="00F978BF"/>
        </w:tc>
        <w:tc>
          <w:tcPr>
            <w:tcW w:w="2790" w:type="dxa"/>
          </w:tcPr>
          <w:p w14:paraId="0D3A93F2" w14:textId="77777777" w:rsidR="00F978BF" w:rsidRDefault="00F978BF"/>
        </w:tc>
      </w:tr>
      <w:tr w:rsidR="00F978BF" w14:paraId="68BC000B" w14:textId="77777777" w:rsidTr="2B2C52B3">
        <w:tc>
          <w:tcPr>
            <w:tcW w:w="1890" w:type="dxa"/>
          </w:tcPr>
          <w:p w14:paraId="0E3F3D93" w14:textId="77777777" w:rsidR="00F978BF" w:rsidRDefault="00F978BF"/>
        </w:tc>
        <w:tc>
          <w:tcPr>
            <w:tcW w:w="1170" w:type="dxa"/>
          </w:tcPr>
          <w:p w14:paraId="2B29E17B" w14:textId="77777777" w:rsidR="00F978BF" w:rsidRDefault="00F978BF"/>
        </w:tc>
        <w:tc>
          <w:tcPr>
            <w:tcW w:w="1530" w:type="dxa"/>
          </w:tcPr>
          <w:p w14:paraId="00BC048E" w14:textId="77777777" w:rsidR="00F978BF" w:rsidRDefault="00F978BF"/>
        </w:tc>
        <w:tc>
          <w:tcPr>
            <w:tcW w:w="2070" w:type="dxa"/>
          </w:tcPr>
          <w:p w14:paraId="48075908" w14:textId="77777777" w:rsidR="00F978BF" w:rsidRDefault="00F978BF"/>
        </w:tc>
        <w:tc>
          <w:tcPr>
            <w:tcW w:w="2790" w:type="dxa"/>
          </w:tcPr>
          <w:p w14:paraId="5CEF7082" w14:textId="77777777" w:rsidR="00F978BF" w:rsidRDefault="00F978BF"/>
        </w:tc>
      </w:tr>
      <w:tr w:rsidR="00F978BF" w14:paraId="21B40C8F" w14:textId="77777777" w:rsidTr="2B2C52B3">
        <w:tc>
          <w:tcPr>
            <w:tcW w:w="1890" w:type="dxa"/>
          </w:tcPr>
          <w:p w14:paraId="0F5A9784" w14:textId="77777777" w:rsidR="00F978BF" w:rsidRDefault="00F978BF"/>
        </w:tc>
        <w:tc>
          <w:tcPr>
            <w:tcW w:w="1170" w:type="dxa"/>
          </w:tcPr>
          <w:p w14:paraId="21735D8D" w14:textId="77777777" w:rsidR="00F978BF" w:rsidRDefault="00F978BF"/>
        </w:tc>
        <w:tc>
          <w:tcPr>
            <w:tcW w:w="1530" w:type="dxa"/>
          </w:tcPr>
          <w:p w14:paraId="61D89F58" w14:textId="77777777" w:rsidR="00F978BF" w:rsidRDefault="00F978BF"/>
        </w:tc>
        <w:tc>
          <w:tcPr>
            <w:tcW w:w="2070" w:type="dxa"/>
          </w:tcPr>
          <w:p w14:paraId="4E65EADA" w14:textId="77777777" w:rsidR="00F978BF" w:rsidRDefault="00F978BF"/>
        </w:tc>
        <w:tc>
          <w:tcPr>
            <w:tcW w:w="2790" w:type="dxa"/>
          </w:tcPr>
          <w:p w14:paraId="36EF9F03" w14:textId="77777777" w:rsidR="00F978BF" w:rsidRDefault="00F978BF"/>
        </w:tc>
      </w:tr>
      <w:tr w:rsidR="00F978BF" w14:paraId="0F5A2F8A" w14:textId="77777777" w:rsidTr="2B2C52B3">
        <w:tc>
          <w:tcPr>
            <w:tcW w:w="1890" w:type="dxa"/>
          </w:tcPr>
          <w:p w14:paraId="135294F5" w14:textId="77777777" w:rsidR="00F978BF" w:rsidRDefault="00F978BF"/>
        </w:tc>
        <w:tc>
          <w:tcPr>
            <w:tcW w:w="1170" w:type="dxa"/>
          </w:tcPr>
          <w:p w14:paraId="622927A9" w14:textId="77777777" w:rsidR="00F978BF" w:rsidRDefault="00F978BF"/>
        </w:tc>
        <w:tc>
          <w:tcPr>
            <w:tcW w:w="1530" w:type="dxa"/>
          </w:tcPr>
          <w:p w14:paraId="5FE3621F" w14:textId="77777777" w:rsidR="00F978BF" w:rsidRDefault="00F978BF"/>
        </w:tc>
        <w:tc>
          <w:tcPr>
            <w:tcW w:w="2070" w:type="dxa"/>
          </w:tcPr>
          <w:p w14:paraId="31383666" w14:textId="77777777" w:rsidR="00F978BF" w:rsidRDefault="00F978BF"/>
        </w:tc>
        <w:tc>
          <w:tcPr>
            <w:tcW w:w="2790" w:type="dxa"/>
          </w:tcPr>
          <w:p w14:paraId="548BB98D" w14:textId="77777777" w:rsidR="00F978BF" w:rsidRDefault="00F978BF"/>
        </w:tc>
      </w:tr>
    </w:tbl>
    <w:p w14:paraId="5E967A7E" w14:textId="77777777" w:rsidR="00F978BF" w:rsidRDefault="00C90A27" w:rsidP="004D25D5">
      <w:pPr>
        <w:pStyle w:val="Heading2"/>
      </w:pPr>
      <w:r>
        <w:t>Additional Information</w:t>
      </w:r>
    </w:p>
    <w:p w14:paraId="0F3A5F7A" w14:textId="77777777" w:rsidR="00F978BF" w:rsidRDefault="00C90A27" w:rsidP="1FFA6553">
      <w:pPr>
        <w:pStyle w:val="Heading3"/>
        <w:rPr>
          <w:sz w:val="22"/>
          <w:szCs w:val="22"/>
        </w:rPr>
      </w:pPr>
      <w:r w:rsidRPr="1FFA6553">
        <w:rPr>
          <w:sz w:val="22"/>
          <w:szCs w:val="22"/>
        </w:rPr>
        <w:t>Platform ACC&amp;R form or VPAT to be distributed with this document:</w:t>
      </w:r>
    </w:p>
    <w:p w14:paraId="4D6D78BA" w14:textId="77777777" w:rsidR="00F978BF" w:rsidRDefault="00F978BF">
      <w:pPr>
        <w:rPr>
          <w:b/>
        </w:rPr>
      </w:pPr>
    </w:p>
    <w:p w14:paraId="7BBD5441" w14:textId="13D318FA" w:rsidR="00F978BF" w:rsidRDefault="000E4003">
      <w:pPr>
        <w:rPr>
          <w:b/>
        </w:rPr>
      </w:pPr>
      <w:proofErr w:type="spellStart"/>
      <w:r>
        <w:rPr>
          <w:b/>
        </w:rPr>
        <w:t>eText</w:t>
      </w:r>
      <w:proofErr w:type="spellEnd"/>
      <w:r>
        <w:rPr>
          <w:b/>
        </w:rPr>
        <w:t xml:space="preserve"> – PDF based</w:t>
      </w:r>
    </w:p>
    <w:p w14:paraId="295635E7" w14:textId="77777777" w:rsidR="00F978BF" w:rsidRDefault="00C90A27" w:rsidP="1FFA6553">
      <w:pPr>
        <w:pStyle w:val="Heading3"/>
        <w:rPr>
          <w:sz w:val="22"/>
          <w:szCs w:val="22"/>
        </w:rPr>
      </w:pPr>
      <w:proofErr w:type="spellStart"/>
      <w:r w:rsidRPr="1FFA6553">
        <w:rPr>
          <w:sz w:val="22"/>
          <w:szCs w:val="22"/>
        </w:rPr>
        <w:t>LearningTools</w:t>
      </w:r>
      <w:proofErr w:type="spellEnd"/>
      <w:r w:rsidRPr="1FFA6553">
        <w:rPr>
          <w:sz w:val="22"/>
          <w:szCs w:val="22"/>
        </w:rPr>
        <w:t>/Apps ACC&amp;R forms to be distributed with this document:</w:t>
      </w:r>
    </w:p>
    <w:p w14:paraId="6B5EB528" w14:textId="77777777" w:rsidR="00F978BF" w:rsidRDefault="00F978BF">
      <w:pPr>
        <w:rPr>
          <w:color w:val="FF0000"/>
        </w:rPr>
      </w:pPr>
    </w:p>
    <w:p w14:paraId="2B58C25C" w14:textId="77777777" w:rsidR="00F978BF" w:rsidRDefault="00F978BF"/>
    <w:sectPr w:rsidR="00F978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008E3"/>
    <w:multiLevelType w:val="multilevel"/>
    <w:tmpl w:val="50565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617B0"/>
    <w:multiLevelType w:val="multilevel"/>
    <w:tmpl w:val="051AF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F07D2"/>
    <w:multiLevelType w:val="multilevel"/>
    <w:tmpl w:val="8362CDDE"/>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C917EF6"/>
    <w:multiLevelType w:val="multilevel"/>
    <w:tmpl w:val="63181D16"/>
    <w:lvl w:ilvl="0">
      <w:start w:val="1"/>
      <w:numFmt w:val="bullet"/>
      <w:lvlText w:val="●"/>
      <w:lvlJc w:val="left"/>
      <w:pPr>
        <w:ind w:left="720" w:hanging="360"/>
      </w:pPr>
      <w:rPr>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MzOyMDA3MrY0NLVU0lEKTi0uzszPAykwqgUA1h5FrCwAAAA="/>
  </w:docVars>
  <w:rsids>
    <w:rsidRoot w:val="00F978BF"/>
    <w:rsid w:val="000D12DE"/>
    <w:rsid w:val="000E4003"/>
    <w:rsid w:val="000F73AD"/>
    <w:rsid w:val="001C5A59"/>
    <w:rsid w:val="00256064"/>
    <w:rsid w:val="00445C70"/>
    <w:rsid w:val="004D25D5"/>
    <w:rsid w:val="0052643E"/>
    <w:rsid w:val="00626749"/>
    <w:rsid w:val="00BD7296"/>
    <w:rsid w:val="00C43F9E"/>
    <w:rsid w:val="00C90A27"/>
    <w:rsid w:val="00E9512B"/>
    <w:rsid w:val="00E96CB6"/>
    <w:rsid w:val="00F978BF"/>
    <w:rsid w:val="1FFA6553"/>
    <w:rsid w:val="21D90194"/>
    <w:rsid w:val="29908252"/>
    <w:rsid w:val="2B2C52B3"/>
    <w:rsid w:val="3F94D013"/>
    <w:rsid w:val="682ACB6B"/>
    <w:rsid w:val="6FB8F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1D66"/>
  <w15:docId w15:val="{CBD9E266-FE2F-4EF3-8C10-56B4D293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4D25D5"/>
    <w:pPr>
      <w:keepNext/>
      <w:keepLines/>
      <w:spacing w:before="360" w:after="120"/>
      <w:outlineLvl w:val="1"/>
    </w:pPr>
    <w:rPr>
      <w:rFonts w:ascii="Open Sans" w:hAnsi="Open Sans"/>
      <w:b/>
      <w:sz w:val="24"/>
      <w:szCs w:val="24"/>
    </w:rPr>
  </w:style>
  <w:style w:type="paragraph" w:styleId="Heading3">
    <w:name w:val="heading 3"/>
    <w:basedOn w:val="Normal"/>
    <w:next w:val="Normal"/>
    <w:uiPriority w:val="9"/>
    <w:unhideWhenUsed/>
    <w:qFormat/>
    <w:rsid w:val="004D25D5"/>
    <w:pPr>
      <w:keepNext/>
      <w:keepLines/>
      <w:spacing w:before="240" w:after="80"/>
      <w:outlineLvl w:val="2"/>
    </w:pPr>
    <w:rPr>
      <w:rFonts w:ascii="Open Sans" w:hAnsi="Open Sans"/>
      <w:b/>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0">
    <w:basedOn w:val="TableNormal"/>
    <w:pPr>
      <w:spacing w:line="240" w:lineRule="auto"/>
    </w:pPr>
    <w:rPr>
      <w:rFonts w:ascii="Calibri" w:eastAsia="Calibri" w:hAnsi="Calibri" w:cs="Calibri"/>
      <w:sz w:val="20"/>
      <w:szCs w:val="20"/>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character" w:styleId="Hyperlink">
    <w:name w:val="Hyperlink"/>
    <w:basedOn w:val="DefaultParagraphFont"/>
    <w:uiPriority w:val="99"/>
    <w:unhideWhenUsed/>
    <w:rsid w:val="004D25D5"/>
    <w:rPr>
      <w:color w:val="0000FF" w:themeColor="hyperlink"/>
      <w:u w:val="single"/>
    </w:rPr>
  </w:style>
  <w:style w:type="character" w:styleId="UnresolvedMention">
    <w:name w:val="Unresolved Mention"/>
    <w:basedOn w:val="DefaultParagraphFont"/>
    <w:uiPriority w:val="99"/>
    <w:semiHidden/>
    <w:unhideWhenUsed/>
    <w:rsid w:val="004D25D5"/>
    <w:rPr>
      <w:color w:val="605E5C"/>
      <w:shd w:val="clear" w:color="auto" w:fill="E1DFDD"/>
    </w:rPr>
  </w:style>
  <w:style w:type="paragraph" w:styleId="ListParagraph">
    <w:name w:val="List Paragraph"/>
    <w:basedOn w:val="Normal"/>
    <w:uiPriority w:val="34"/>
    <w:qFormat/>
    <w:rsid w:val="000D12DE"/>
    <w:pPr>
      <w:ind w:left="720"/>
      <w:contextualSpacing/>
    </w:p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sability.support@pearso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90B95B22DD945BDFF45EB84A5E21C" ma:contentTypeVersion="12" ma:contentTypeDescription="Create a new document." ma:contentTypeScope="" ma:versionID="9ee3781bcb6633d132c89161492bb118">
  <xsd:schema xmlns:xsd="http://www.w3.org/2001/XMLSchema" xmlns:xs="http://www.w3.org/2001/XMLSchema" xmlns:p="http://schemas.microsoft.com/office/2006/metadata/properties" xmlns:ns2="7c1bd8dc-4e40-424f-a15f-9ffcd522197f" xmlns:ns3="6125ffc9-2c56-435e-8267-1393444907b2" targetNamespace="http://schemas.microsoft.com/office/2006/metadata/properties" ma:root="true" ma:fieldsID="d3e430f46b92204fb5a3381a429c4dbe" ns2:_="" ns3:_="">
    <xsd:import namespace="7c1bd8dc-4e40-424f-a15f-9ffcd522197f"/>
    <xsd:import namespace="6125ffc9-2c56-435e-8267-1393444907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d8dc-4e40-424f-a15f-9ffcd52219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5ffc9-2c56-435e-8267-1393444907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1AADC-76DD-4FAE-903B-9CF877106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B453B-BF3F-40C0-85D6-C71A9E56DF01}">
  <ds:schemaRefs>
    <ds:schemaRef ds:uri="http://schemas.microsoft.com/sharepoint/v3/contenttype/forms"/>
  </ds:schemaRefs>
</ds:datastoreItem>
</file>

<file path=customXml/itemProps3.xml><?xml version="1.0" encoding="utf-8"?>
<ds:datastoreItem xmlns:ds="http://schemas.openxmlformats.org/officeDocument/2006/customXml" ds:itemID="{1F38FC9A-B994-4666-8301-725E10AD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bd8dc-4e40-424f-a15f-9ffcd522197f"/>
    <ds:schemaRef ds:uri="6125ffc9-2c56-435e-8267-139344490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amshort</dc:creator>
  <cp:lastModifiedBy>Cochran, Catelyn</cp:lastModifiedBy>
  <cp:revision>2</cp:revision>
  <cp:lastPrinted>2019-04-05T20:10:00Z</cp:lastPrinted>
  <dcterms:created xsi:type="dcterms:W3CDTF">2021-11-02T13:44:00Z</dcterms:created>
  <dcterms:modified xsi:type="dcterms:W3CDTF">2021-11-02T13:44:00Z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0x01010086D90B95B22DD945BDFF45EB84A5E21C</vt:lpwstr>
  </property>
</Properties>
</file>