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E75483" w:rsidTr="003215E6">
        <w:tc>
          <w:tcPr>
            <w:tcW w:w="9350" w:type="dxa"/>
            <w:shd w:val="clear" w:color="auto" w:fill="44546A" w:themeFill="text2"/>
          </w:tcPr>
          <w:p w:rsidR="00E75483" w:rsidRDefault="00E75483" w:rsidP="003215E6">
            <w:pPr>
              <w:rPr>
                <w:b/>
                <w:bCs/>
              </w:rPr>
            </w:pPr>
            <w:bookmarkStart w:id="0" w:name="_GoBack"/>
            <w:bookmarkEnd w:id="0"/>
            <w:r>
              <w:rPr>
                <w:noProof/>
              </w:rPr>
              <w:drawing>
                <wp:inline distT="0" distB="0" distL="0" distR="0">
                  <wp:extent cx="2452494" cy="523728"/>
                  <wp:effectExtent l="0" t="0" r="5080" b="0"/>
                  <wp:docPr id="1" name="Picture 1" descr="http://countrywatch.com/The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rywatch.com/Theme/image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8613" cy="586964"/>
                          </a:xfrm>
                          <a:prstGeom prst="rect">
                            <a:avLst/>
                          </a:prstGeom>
                          <a:noFill/>
                          <a:ln>
                            <a:noFill/>
                          </a:ln>
                        </pic:spPr>
                      </pic:pic>
                    </a:graphicData>
                  </a:graphic>
                </wp:inline>
              </w:drawing>
            </w:r>
          </w:p>
        </w:tc>
      </w:tr>
    </w:tbl>
    <w:p w:rsidR="00E75483" w:rsidRPr="00DD32B7" w:rsidRDefault="00E75483" w:rsidP="00DD32B7">
      <w:pPr>
        <w:pStyle w:val="Title"/>
        <w:spacing w:after="0"/>
        <w:rPr>
          <w:sz w:val="36"/>
          <w:szCs w:val="36"/>
        </w:rPr>
      </w:pPr>
      <w:r w:rsidRPr="00DD32B7">
        <w:rPr>
          <w:sz w:val="36"/>
          <w:szCs w:val="36"/>
        </w:rPr>
        <w:t xml:space="preserve">Accessibility Roadmap </w:t>
      </w:r>
    </w:p>
    <w:p w:rsidR="00E75483" w:rsidRDefault="00E75483" w:rsidP="00DD32B7">
      <w:pPr>
        <w:pStyle w:val="Heading1"/>
        <w:spacing w:before="0"/>
      </w:pPr>
      <w:r>
        <w:t>Overview</w:t>
      </w:r>
    </w:p>
    <w:p w:rsidR="00DD32B7" w:rsidRDefault="00E75483" w:rsidP="00DD32B7">
      <w:r>
        <w:t>This document describes the WCAG 2.0 line items and how CountryWatch will work to be compliant with them. The checkpoints are used as targets for which CountryWatch intends on meeting each individual item.</w:t>
      </w:r>
    </w:p>
    <w:p w:rsidR="00DD32B7" w:rsidRDefault="00DD32B7" w:rsidP="00DD32B7">
      <w:r>
        <w:t>WCAG 2.0 checklist Level AA (Intermediate)</w:t>
      </w:r>
    </w:p>
    <w:p w:rsidR="00DD32B7" w:rsidRPr="00DD32B7" w:rsidRDefault="00DD32B7" w:rsidP="00DD32B7">
      <w:pPr>
        <w:rPr>
          <w:rFonts w:ascii="Georgia" w:hAnsi="Georgia"/>
          <w:b/>
          <w:bCs/>
          <w:color w:val="444444"/>
          <w:sz w:val="38"/>
          <w:szCs w:val="38"/>
          <w:u w:val="single"/>
        </w:rPr>
      </w:pPr>
      <w:r w:rsidRPr="00DD32B7">
        <w:rPr>
          <w:u w:val="single"/>
        </w:rPr>
        <w:t>Checkpoints</w:t>
      </w:r>
      <w:r w:rsidRPr="00DD32B7">
        <w:rPr>
          <w:rFonts w:ascii="Georgia" w:hAnsi="Georgia"/>
          <w:b/>
          <w:bCs/>
          <w:color w:val="444444"/>
          <w:sz w:val="38"/>
          <w:szCs w:val="38"/>
        </w:rPr>
        <w:tab/>
      </w:r>
      <w:r w:rsidRPr="00DD32B7">
        <w:rPr>
          <w:rFonts w:ascii="Georgia" w:hAnsi="Georgia"/>
          <w:b/>
          <w:bCs/>
          <w:color w:val="444444"/>
          <w:sz w:val="38"/>
          <w:szCs w:val="38"/>
        </w:rPr>
        <w:tab/>
      </w:r>
      <w:r w:rsidRPr="006E4C98">
        <w:rPr>
          <w:color w:val="FF0000"/>
        </w:rPr>
        <w:t>August 1</w:t>
      </w:r>
      <w:r w:rsidRPr="00DD32B7">
        <w:rPr>
          <w:rFonts w:ascii="Georgia" w:hAnsi="Georgia"/>
          <w:b/>
          <w:bCs/>
          <w:color w:val="444444"/>
          <w:sz w:val="38"/>
          <w:szCs w:val="38"/>
        </w:rPr>
        <w:tab/>
      </w:r>
      <w:r w:rsidRPr="00DD32B7">
        <w:rPr>
          <w:rFonts w:ascii="Georgia" w:hAnsi="Georgia"/>
          <w:b/>
          <w:bCs/>
          <w:color w:val="444444"/>
          <w:sz w:val="38"/>
          <w:szCs w:val="38"/>
        </w:rPr>
        <w:tab/>
      </w:r>
      <w:r w:rsidRPr="006E4C98">
        <w:rPr>
          <w:color w:val="833C0B" w:themeColor="accent2" w:themeShade="80"/>
        </w:rPr>
        <w:t>October 1</w:t>
      </w:r>
      <w:r w:rsidRPr="00DD32B7">
        <w:rPr>
          <w:rFonts w:ascii="Georgia" w:hAnsi="Georgia"/>
          <w:b/>
          <w:bCs/>
          <w:color w:val="444444"/>
          <w:sz w:val="38"/>
          <w:szCs w:val="38"/>
        </w:rPr>
        <w:tab/>
      </w:r>
      <w:r w:rsidRPr="00DD32B7">
        <w:rPr>
          <w:rFonts w:ascii="Georgia" w:hAnsi="Georgia"/>
          <w:b/>
          <w:bCs/>
          <w:color w:val="444444"/>
          <w:sz w:val="38"/>
          <w:szCs w:val="38"/>
        </w:rPr>
        <w:tab/>
      </w:r>
      <w:r w:rsidRPr="006E4C98">
        <w:rPr>
          <w:color w:val="385623" w:themeColor="accent6" w:themeShade="80"/>
        </w:rPr>
        <w:t>January 1</w:t>
      </w:r>
    </w:p>
    <w:tbl>
      <w:tblPr>
        <w:tblW w:w="10710" w:type="dxa"/>
        <w:tblInd w:w="-630" w:type="dxa"/>
        <w:tblCellMar>
          <w:top w:w="15" w:type="dxa"/>
          <w:left w:w="15" w:type="dxa"/>
          <w:bottom w:w="15" w:type="dxa"/>
          <w:right w:w="15" w:type="dxa"/>
        </w:tblCellMar>
        <w:tblLook w:val="04A0" w:firstRow="1" w:lastRow="0" w:firstColumn="1" w:lastColumn="0" w:noHBand="0" w:noVBand="1"/>
      </w:tblPr>
      <w:tblGrid>
        <w:gridCol w:w="2880"/>
        <w:gridCol w:w="4410"/>
        <w:gridCol w:w="3420"/>
      </w:tblGrid>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b/>
                <w:bCs/>
                <w:color w:val="666666"/>
                <w:sz w:val="16"/>
                <w:szCs w:val="16"/>
              </w:rPr>
              <w:t>Guideline</w:t>
            </w:r>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b/>
                <w:bCs/>
                <w:color w:val="666666"/>
                <w:sz w:val="16"/>
                <w:szCs w:val="16"/>
              </w:rPr>
              <w:t>Summary</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b/>
                <w:bCs/>
                <w:color w:val="666666"/>
                <w:sz w:val="16"/>
                <w:szCs w:val="16"/>
              </w:rPr>
            </w:pPr>
            <w:r>
              <w:rPr>
                <w:rFonts w:ascii="Georgia" w:eastAsia="Times New Roman" w:hAnsi="Georgia" w:cs="Times New Roman"/>
                <w:b/>
                <w:bCs/>
                <w:color w:val="666666"/>
                <w:sz w:val="16"/>
                <w:szCs w:val="16"/>
              </w:rPr>
              <w:t>Plan</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8" w:history="1">
              <w:r w:rsidR="00DD32B7" w:rsidRPr="00F7581C">
                <w:rPr>
                  <w:rFonts w:ascii="Georgia" w:eastAsia="Times New Roman" w:hAnsi="Georgia" w:cs="Times New Roman"/>
                  <w:color w:val="CE6607"/>
                  <w:sz w:val="16"/>
                  <w:szCs w:val="16"/>
                </w:rPr>
                <w:t>1.2.4 – Captions (Live)</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Live videos have captions</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385623" w:themeColor="accent6" w:themeShade="80"/>
                <w:sz w:val="16"/>
                <w:szCs w:val="16"/>
              </w:rPr>
              <w:t>Acquire video caption software and edit library consisting of 24 videos.</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9" w:history="1">
              <w:r w:rsidR="00DD32B7" w:rsidRPr="00F7581C">
                <w:rPr>
                  <w:rFonts w:ascii="Georgia" w:eastAsia="Times New Roman" w:hAnsi="Georgia" w:cs="Times New Roman"/>
                  <w:color w:val="CE6607"/>
                  <w:sz w:val="16"/>
                  <w:szCs w:val="16"/>
                </w:rPr>
                <w:t>1.2.5 – Audio Description (Pre-recorded)</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Users have access to audio description for video content</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385623" w:themeColor="accent6" w:themeShade="80"/>
                <w:sz w:val="16"/>
                <w:szCs w:val="16"/>
              </w:rPr>
              <w:t>Create new audio file that narrates video to accompany each video in video library.</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0" w:history="1">
              <w:r w:rsidR="00DD32B7" w:rsidRPr="00F7581C">
                <w:rPr>
                  <w:rFonts w:ascii="Georgia" w:eastAsia="Times New Roman" w:hAnsi="Georgia" w:cs="Times New Roman"/>
                  <w:color w:val="CE6607"/>
                  <w:sz w:val="16"/>
                  <w:szCs w:val="16"/>
                </w:rPr>
                <w:t>1.4.3 – Contrast (Minimum)</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Contrast ratio between text and background is at least 4.5:1</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FF0000"/>
                <w:sz w:val="16"/>
                <w:szCs w:val="16"/>
              </w:rPr>
              <w:t>Contrast will be adjusted to 7:1 ratio.</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1" w:history="1">
              <w:r w:rsidR="00DD32B7" w:rsidRPr="00F7581C">
                <w:rPr>
                  <w:rFonts w:ascii="Georgia" w:eastAsia="Times New Roman" w:hAnsi="Georgia" w:cs="Times New Roman"/>
                  <w:color w:val="CE6607"/>
                  <w:sz w:val="16"/>
                  <w:szCs w:val="16"/>
                </w:rPr>
                <w:t>1.4.4 – Resize Text</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Text can be resized to 200% without loss of content or function</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833C0B" w:themeColor="accent2" w:themeShade="80"/>
                <w:sz w:val="16"/>
                <w:szCs w:val="16"/>
              </w:rPr>
              <w:t>Layout will be adjusted so 200% zoom does not require horizontal scrollbars. Images of text will be reduced when possible.</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2" w:history="1">
              <w:r w:rsidR="00DD32B7" w:rsidRPr="00F7581C">
                <w:rPr>
                  <w:rFonts w:ascii="Georgia" w:eastAsia="Times New Roman" w:hAnsi="Georgia" w:cs="Times New Roman"/>
                  <w:color w:val="CE6607"/>
                  <w:sz w:val="16"/>
                  <w:szCs w:val="16"/>
                </w:rPr>
                <w:t>1.4.5 – Images of Text</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Don’t use images of text</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833C0B" w:themeColor="accent2" w:themeShade="80"/>
                <w:sz w:val="16"/>
                <w:szCs w:val="16"/>
              </w:rPr>
              <w:t>Images of text will be limited to banners.</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3" w:history="1">
              <w:r w:rsidR="00DD32B7" w:rsidRPr="00F7581C">
                <w:rPr>
                  <w:rFonts w:ascii="Georgia" w:eastAsia="Times New Roman" w:hAnsi="Georgia" w:cs="Times New Roman"/>
                  <w:color w:val="CE6607"/>
                  <w:sz w:val="16"/>
                  <w:szCs w:val="16"/>
                </w:rPr>
                <w:t>2.4.5 – Multiple Ways</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Offer several ways to find pages</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833C0B" w:themeColor="accent2" w:themeShade="80"/>
                <w:sz w:val="16"/>
                <w:szCs w:val="16"/>
              </w:rPr>
              <w:t>An HTML sitemap will be available on every page.</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4" w:history="1">
              <w:r w:rsidR="00DD32B7" w:rsidRPr="00F7581C">
                <w:rPr>
                  <w:rFonts w:ascii="Georgia" w:eastAsia="Times New Roman" w:hAnsi="Georgia" w:cs="Times New Roman"/>
                  <w:color w:val="CE6607"/>
                  <w:sz w:val="16"/>
                  <w:szCs w:val="16"/>
                </w:rPr>
                <w:t>2.4.6 – Headings and Labels</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Use clear headings and labels</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833C0B" w:themeColor="accent2" w:themeShade="80"/>
                <w:sz w:val="16"/>
                <w:szCs w:val="16"/>
              </w:rPr>
              <w:t xml:space="preserve">Leverage HTML5 based elements to label forms, headers, footer, side navigation and tables. </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5" w:history="1">
              <w:r w:rsidR="00DD32B7" w:rsidRPr="00F7581C">
                <w:rPr>
                  <w:rFonts w:ascii="Georgia" w:eastAsia="Times New Roman" w:hAnsi="Georgia" w:cs="Times New Roman"/>
                  <w:color w:val="CE6607"/>
                  <w:sz w:val="16"/>
                  <w:szCs w:val="16"/>
                </w:rPr>
                <w:t>2.4.7 – Focus Visible</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Ensure keyboard focus is visible and clear</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FF0000"/>
                <w:sz w:val="16"/>
                <w:szCs w:val="16"/>
              </w:rPr>
              <w:t>A border will be added around the navigational element to emphasize context of where the user is in the navigation.</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6" w:history="1">
              <w:r w:rsidR="00DD32B7" w:rsidRPr="00F7581C">
                <w:rPr>
                  <w:rFonts w:ascii="Georgia" w:eastAsia="Times New Roman" w:hAnsi="Georgia" w:cs="Times New Roman"/>
                  <w:color w:val="CE6607"/>
                  <w:sz w:val="16"/>
                  <w:szCs w:val="16"/>
                </w:rPr>
                <w:t>3.1.2 – Language of Parts</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Tell users when the language on a page changes</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Pr>
                <w:rFonts w:ascii="Georgia" w:eastAsia="Times New Roman" w:hAnsi="Georgia" w:cs="Times New Roman"/>
                <w:color w:val="666666"/>
                <w:sz w:val="16"/>
                <w:szCs w:val="16"/>
              </w:rPr>
              <w:t>The CountryWatch products are only delivered in English.</w:t>
            </w:r>
          </w:p>
        </w:tc>
      </w:tr>
      <w:tr w:rsidR="00DD32B7" w:rsidRPr="006E4C98"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7" w:history="1">
              <w:r w:rsidR="00DD32B7" w:rsidRPr="00F7581C">
                <w:rPr>
                  <w:rFonts w:ascii="Georgia" w:eastAsia="Times New Roman" w:hAnsi="Georgia" w:cs="Times New Roman"/>
                  <w:color w:val="CE6607"/>
                  <w:sz w:val="16"/>
                  <w:szCs w:val="16"/>
                </w:rPr>
                <w:t>3.2.3 – Consistent Navigation</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Use menus consistently</w:t>
            </w:r>
          </w:p>
        </w:tc>
        <w:tc>
          <w:tcPr>
            <w:tcW w:w="3420" w:type="dxa"/>
            <w:tcBorders>
              <w:bottom w:val="single" w:sz="6" w:space="0" w:color="EEEEEE"/>
            </w:tcBorders>
          </w:tcPr>
          <w:p w:rsidR="00DD32B7" w:rsidRPr="006E4C98" w:rsidRDefault="00DD32B7" w:rsidP="00403E99">
            <w:pPr>
              <w:spacing w:after="0" w:line="240" w:lineRule="auto"/>
              <w:rPr>
                <w:rFonts w:ascii="Georgia" w:eastAsia="Times New Roman" w:hAnsi="Georgia" w:cs="Times New Roman"/>
                <w:color w:val="385623" w:themeColor="accent6" w:themeShade="80"/>
                <w:sz w:val="16"/>
                <w:szCs w:val="16"/>
              </w:rPr>
            </w:pPr>
            <w:r w:rsidRPr="006E4C98">
              <w:rPr>
                <w:rFonts w:ascii="Georgia" w:eastAsia="Times New Roman" w:hAnsi="Georgia" w:cs="Times New Roman"/>
                <w:color w:val="385623" w:themeColor="accent6" w:themeShade="80"/>
                <w:sz w:val="16"/>
                <w:szCs w:val="16"/>
              </w:rPr>
              <w:t>The layout of all CountryWatch product sites is not consistent. This is most evident in the side navigational elements. We will ensure this is as similar as it can be throughout all product sites.</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8" w:history="1">
              <w:r w:rsidR="00DD32B7" w:rsidRPr="00F7581C">
                <w:rPr>
                  <w:rFonts w:ascii="Georgia" w:eastAsia="Times New Roman" w:hAnsi="Georgia" w:cs="Times New Roman"/>
                  <w:color w:val="CE6607"/>
                  <w:sz w:val="16"/>
                  <w:szCs w:val="16"/>
                </w:rPr>
                <w:t>3.2.4 – Consistent Identification</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Use icons and buttons consistently</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385623" w:themeColor="accent6" w:themeShade="80"/>
                <w:sz w:val="16"/>
                <w:szCs w:val="16"/>
              </w:rPr>
              <w:t>Headers and footers are consistent. We will address 3.2.3 which should help further with identification.</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19" w:history="1">
              <w:r w:rsidR="00DD32B7" w:rsidRPr="00F7581C">
                <w:rPr>
                  <w:rFonts w:ascii="Georgia" w:eastAsia="Times New Roman" w:hAnsi="Georgia" w:cs="Times New Roman"/>
                  <w:color w:val="CE6607"/>
                  <w:sz w:val="16"/>
                  <w:szCs w:val="16"/>
                </w:rPr>
                <w:t>3.3.3 – Error Suggestion</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Suggest fixes when users make errors</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sidRPr="006E4C98">
              <w:rPr>
                <w:rFonts w:ascii="Georgia" w:eastAsia="Times New Roman" w:hAnsi="Georgia" w:cs="Times New Roman"/>
                <w:color w:val="385623" w:themeColor="accent6" w:themeShade="80"/>
                <w:sz w:val="16"/>
                <w:szCs w:val="16"/>
              </w:rPr>
              <w:t>The Login and Contact Us forms will include friendlier and more helpful error validation.</w:t>
            </w:r>
          </w:p>
        </w:tc>
      </w:tr>
      <w:tr w:rsidR="00DD32B7" w:rsidRPr="00F7581C" w:rsidTr="00403E99">
        <w:tc>
          <w:tcPr>
            <w:tcW w:w="2880" w:type="dxa"/>
            <w:tcBorders>
              <w:bottom w:val="single" w:sz="6" w:space="0" w:color="EEEEEE"/>
            </w:tcBorders>
            <w:tcMar>
              <w:top w:w="192" w:type="dxa"/>
              <w:left w:w="0" w:type="dxa"/>
              <w:bottom w:w="144" w:type="dxa"/>
              <w:right w:w="480" w:type="dxa"/>
            </w:tcMar>
            <w:vAlign w:val="center"/>
            <w:hideMark/>
          </w:tcPr>
          <w:p w:rsidR="00DD32B7" w:rsidRPr="00F7581C" w:rsidRDefault="0041299C" w:rsidP="00403E99">
            <w:pPr>
              <w:spacing w:after="0" w:line="240" w:lineRule="auto"/>
              <w:rPr>
                <w:rFonts w:ascii="Georgia" w:eastAsia="Times New Roman" w:hAnsi="Georgia" w:cs="Times New Roman"/>
                <w:color w:val="666666"/>
                <w:sz w:val="16"/>
                <w:szCs w:val="16"/>
              </w:rPr>
            </w:pPr>
            <w:hyperlink r:id="rId20" w:history="1">
              <w:r w:rsidR="00DD32B7" w:rsidRPr="00F7581C">
                <w:rPr>
                  <w:rFonts w:ascii="Georgia" w:eastAsia="Times New Roman" w:hAnsi="Georgia" w:cs="Times New Roman"/>
                  <w:color w:val="CE6607"/>
                  <w:sz w:val="16"/>
                  <w:szCs w:val="16"/>
                </w:rPr>
                <w:t>3.3.4- Error Prevention (Legal, Financial, Data)</w:t>
              </w:r>
            </w:hyperlink>
          </w:p>
        </w:tc>
        <w:tc>
          <w:tcPr>
            <w:tcW w:w="4410" w:type="dxa"/>
            <w:tcBorders>
              <w:bottom w:val="single" w:sz="6" w:space="0" w:color="EEEEEE"/>
            </w:tcBorders>
            <w:tcMar>
              <w:top w:w="192" w:type="dxa"/>
              <w:left w:w="0" w:type="dxa"/>
              <w:bottom w:w="144" w:type="dxa"/>
              <w:right w:w="480" w:type="dxa"/>
            </w:tcMar>
            <w:vAlign w:val="center"/>
            <w:hideMark/>
          </w:tcPr>
          <w:p w:rsidR="00DD32B7" w:rsidRPr="00F7581C" w:rsidRDefault="00DD32B7" w:rsidP="00403E99">
            <w:pPr>
              <w:spacing w:after="0" w:line="240" w:lineRule="auto"/>
              <w:rPr>
                <w:rFonts w:ascii="Georgia" w:eastAsia="Times New Roman" w:hAnsi="Georgia" w:cs="Times New Roman"/>
                <w:color w:val="666666"/>
                <w:sz w:val="16"/>
                <w:szCs w:val="16"/>
              </w:rPr>
            </w:pPr>
            <w:r w:rsidRPr="00F7581C">
              <w:rPr>
                <w:rFonts w:ascii="Georgia" w:eastAsia="Times New Roman" w:hAnsi="Georgia" w:cs="Times New Roman"/>
                <w:color w:val="666666"/>
                <w:sz w:val="16"/>
                <w:szCs w:val="16"/>
              </w:rPr>
              <w:t>Reduce the risk of input errors for sensitive data</w:t>
            </w:r>
          </w:p>
        </w:tc>
        <w:tc>
          <w:tcPr>
            <w:tcW w:w="3420" w:type="dxa"/>
            <w:tcBorders>
              <w:bottom w:val="single" w:sz="6" w:space="0" w:color="EEEEEE"/>
            </w:tcBorders>
          </w:tcPr>
          <w:p w:rsidR="00DD32B7" w:rsidRPr="00F7581C" w:rsidRDefault="00DD32B7" w:rsidP="00403E99">
            <w:pPr>
              <w:spacing w:after="0" w:line="240" w:lineRule="auto"/>
              <w:rPr>
                <w:rFonts w:ascii="Georgia" w:eastAsia="Times New Roman" w:hAnsi="Georgia" w:cs="Times New Roman"/>
                <w:color w:val="666666"/>
                <w:sz w:val="16"/>
                <w:szCs w:val="16"/>
              </w:rPr>
            </w:pPr>
            <w:r>
              <w:rPr>
                <w:rFonts w:ascii="Georgia" w:eastAsia="Times New Roman" w:hAnsi="Georgia" w:cs="Times New Roman"/>
                <w:color w:val="666666"/>
                <w:sz w:val="16"/>
                <w:szCs w:val="16"/>
              </w:rPr>
              <w:t>Our products do not deal with sensitive customer data.</w:t>
            </w:r>
          </w:p>
        </w:tc>
      </w:tr>
    </w:tbl>
    <w:p w:rsidR="00763FB9" w:rsidRPr="00F7581C" w:rsidRDefault="00763FB9" w:rsidP="00DD32B7"/>
    <w:sectPr w:rsidR="00763FB9" w:rsidRPr="00F7581C" w:rsidSect="00DD32B7">
      <w:pgSz w:w="12240" w:h="15840"/>
      <w:pgMar w:top="720" w:right="720" w:bottom="720" w:left="129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9C" w:rsidRDefault="0044699C" w:rsidP="00DD32B7">
      <w:pPr>
        <w:spacing w:after="0" w:line="240" w:lineRule="auto"/>
      </w:pPr>
      <w:r>
        <w:separator/>
      </w:r>
    </w:p>
  </w:endnote>
  <w:endnote w:type="continuationSeparator" w:id="0">
    <w:p w:rsidR="0044699C" w:rsidRDefault="0044699C" w:rsidP="00DD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9C" w:rsidRDefault="0044699C" w:rsidP="00DD32B7">
      <w:pPr>
        <w:spacing w:after="0" w:line="240" w:lineRule="auto"/>
      </w:pPr>
      <w:r>
        <w:separator/>
      </w:r>
    </w:p>
  </w:footnote>
  <w:footnote w:type="continuationSeparator" w:id="0">
    <w:p w:rsidR="0044699C" w:rsidRDefault="0044699C" w:rsidP="00DD3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795B"/>
    <w:multiLevelType w:val="hybridMultilevel"/>
    <w:tmpl w:val="7220A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96E56"/>
    <w:multiLevelType w:val="hybridMultilevel"/>
    <w:tmpl w:val="D4D4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97FB2"/>
    <w:multiLevelType w:val="hybridMultilevel"/>
    <w:tmpl w:val="90F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5144E"/>
    <w:multiLevelType w:val="hybridMultilevel"/>
    <w:tmpl w:val="D7C2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D141C"/>
    <w:multiLevelType w:val="hybridMultilevel"/>
    <w:tmpl w:val="528A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D031D"/>
    <w:multiLevelType w:val="hybridMultilevel"/>
    <w:tmpl w:val="3992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75112"/>
    <w:multiLevelType w:val="hybridMultilevel"/>
    <w:tmpl w:val="DF2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236EB"/>
    <w:multiLevelType w:val="hybridMultilevel"/>
    <w:tmpl w:val="1F5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28"/>
    <w:rsid w:val="00066B8C"/>
    <w:rsid w:val="000D796F"/>
    <w:rsid w:val="000E4B28"/>
    <w:rsid w:val="00123F71"/>
    <w:rsid w:val="00153261"/>
    <w:rsid w:val="00167FC6"/>
    <w:rsid w:val="001E1067"/>
    <w:rsid w:val="001E5153"/>
    <w:rsid w:val="001E5AAB"/>
    <w:rsid w:val="00260220"/>
    <w:rsid w:val="00267A72"/>
    <w:rsid w:val="002E0BB2"/>
    <w:rsid w:val="002E5C7E"/>
    <w:rsid w:val="003135EA"/>
    <w:rsid w:val="00320859"/>
    <w:rsid w:val="003C0E6B"/>
    <w:rsid w:val="0041299C"/>
    <w:rsid w:val="0044699C"/>
    <w:rsid w:val="0053061D"/>
    <w:rsid w:val="00542D24"/>
    <w:rsid w:val="005A1623"/>
    <w:rsid w:val="005B1DE6"/>
    <w:rsid w:val="005E57EE"/>
    <w:rsid w:val="0060001C"/>
    <w:rsid w:val="00601AA2"/>
    <w:rsid w:val="006621E6"/>
    <w:rsid w:val="006749B5"/>
    <w:rsid w:val="006C4A18"/>
    <w:rsid w:val="006E4C98"/>
    <w:rsid w:val="0071406D"/>
    <w:rsid w:val="00763FB9"/>
    <w:rsid w:val="007901D6"/>
    <w:rsid w:val="007905A6"/>
    <w:rsid w:val="00812911"/>
    <w:rsid w:val="00827AB5"/>
    <w:rsid w:val="00941A34"/>
    <w:rsid w:val="009A4D6C"/>
    <w:rsid w:val="009A79FA"/>
    <w:rsid w:val="009C1DF8"/>
    <w:rsid w:val="009D7762"/>
    <w:rsid w:val="00A111A2"/>
    <w:rsid w:val="00A63D8D"/>
    <w:rsid w:val="00BB00D1"/>
    <w:rsid w:val="00BC044F"/>
    <w:rsid w:val="00BF0D60"/>
    <w:rsid w:val="00C938C1"/>
    <w:rsid w:val="00CA700D"/>
    <w:rsid w:val="00CB588A"/>
    <w:rsid w:val="00D42285"/>
    <w:rsid w:val="00D606CC"/>
    <w:rsid w:val="00D97F8D"/>
    <w:rsid w:val="00DB6550"/>
    <w:rsid w:val="00DC1324"/>
    <w:rsid w:val="00DD32B7"/>
    <w:rsid w:val="00E31889"/>
    <w:rsid w:val="00E507EE"/>
    <w:rsid w:val="00E713D3"/>
    <w:rsid w:val="00E75483"/>
    <w:rsid w:val="00EC64AF"/>
    <w:rsid w:val="00EC7B7B"/>
    <w:rsid w:val="00EE3418"/>
    <w:rsid w:val="00F15CD1"/>
    <w:rsid w:val="00F662CD"/>
    <w:rsid w:val="00F7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4F5E2-7FCF-444E-93A4-FF7920B9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D1"/>
  </w:style>
  <w:style w:type="paragraph" w:styleId="Heading1">
    <w:name w:val="heading 1"/>
    <w:basedOn w:val="Normal"/>
    <w:next w:val="Normal"/>
    <w:link w:val="Heading1Char"/>
    <w:uiPriority w:val="9"/>
    <w:qFormat/>
    <w:rsid w:val="00E75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E3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63F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B28"/>
    <w:rPr>
      <w:b/>
      <w:bCs/>
    </w:rPr>
  </w:style>
  <w:style w:type="character" w:styleId="Hyperlink">
    <w:name w:val="Hyperlink"/>
    <w:basedOn w:val="DefaultParagraphFont"/>
    <w:uiPriority w:val="99"/>
    <w:semiHidden/>
    <w:unhideWhenUsed/>
    <w:rsid w:val="000E4B28"/>
    <w:rPr>
      <w:color w:val="0000FF"/>
      <w:u w:val="single"/>
    </w:rPr>
  </w:style>
  <w:style w:type="character" w:customStyle="1" w:styleId="Heading2Char">
    <w:name w:val="Heading 2 Char"/>
    <w:basedOn w:val="DefaultParagraphFont"/>
    <w:link w:val="Heading2"/>
    <w:uiPriority w:val="9"/>
    <w:rsid w:val="00EE3418"/>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763FB9"/>
    <w:pPr>
      <w:widowControl w:val="0"/>
      <w:autoSpaceDE w:val="0"/>
      <w:autoSpaceDN w:val="0"/>
      <w:spacing w:after="0" w:line="240" w:lineRule="auto"/>
    </w:pPr>
    <w:rPr>
      <w:rFonts w:ascii="Verdana" w:eastAsia="Verdana" w:hAnsi="Verdana" w:cs="Verdana"/>
      <w:sz w:val="15"/>
      <w:szCs w:val="15"/>
    </w:rPr>
  </w:style>
  <w:style w:type="character" w:customStyle="1" w:styleId="BodyTextChar">
    <w:name w:val="Body Text Char"/>
    <w:basedOn w:val="DefaultParagraphFont"/>
    <w:link w:val="BodyText"/>
    <w:uiPriority w:val="1"/>
    <w:rsid w:val="00763FB9"/>
    <w:rPr>
      <w:rFonts w:ascii="Verdana" w:eastAsia="Verdana" w:hAnsi="Verdana" w:cs="Verdana"/>
      <w:sz w:val="15"/>
      <w:szCs w:val="15"/>
    </w:rPr>
  </w:style>
  <w:style w:type="paragraph" w:styleId="ListParagraph">
    <w:name w:val="List Paragraph"/>
    <w:basedOn w:val="Normal"/>
    <w:uiPriority w:val="34"/>
    <w:qFormat/>
    <w:rsid w:val="00763FB9"/>
    <w:pPr>
      <w:widowControl w:val="0"/>
      <w:autoSpaceDE w:val="0"/>
      <w:autoSpaceDN w:val="0"/>
      <w:spacing w:after="0" w:line="240" w:lineRule="auto"/>
    </w:pPr>
    <w:rPr>
      <w:rFonts w:ascii="Verdana" w:eastAsia="Verdana" w:hAnsi="Verdana" w:cs="Verdana"/>
    </w:rPr>
  </w:style>
  <w:style w:type="paragraph" w:customStyle="1" w:styleId="TableParagraph">
    <w:name w:val="Table Paragraph"/>
    <w:basedOn w:val="Normal"/>
    <w:uiPriority w:val="1"/>
    <w:qFormat/>
    <w:rsid w:val="00763FB9"/>
    <w:pPr>
      <w:widowControl w:val="0"/>
      <w:autoSpaceDE w:val="0"/>
      <w:autoSpaceDN w:val="0"/>
      <w:spacing w:after="0" w:line="240" w:lineRule="auto"/>
    </w:pPr>
    <w:rPr>
      <w:rFonts w:ascii="Verdana" w:eastAsia="Verdana" w:hAnsi="Verdana" w:cs="Verdana"/>
    </w:rPr>
  </w:style>
  <w:style w:type="character" w:customStyle="1" w:styleId="Heading3Char">
    <w:name w:val="Heading 3 Char"/>
    <w:basedOn w:val="DefaultParagraphFont"/>
    <w:link w:val="Heading3"/>
    <w:uiPriority w:val="9"/>
    <w:rsid w:val="00763FB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7548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E754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754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5483"/>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semiHidden/>
    <w:unhideWhenUsed/>
    <w:rsid w:val="00DD3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2B7"/>
  </w:style>
  <w:style w:type="paragraph" w:styleId="Footer">
    <w:name w:val="footer"/>
    <w:basedOn w:val="Normal"/>
    <w:link w:val="FooterChar"/>
    <w:uiPriority w:val="99"/>
    <w:semiHidden/>
    <w:unhideWhenUsed/>
    <w:rsid w:val="00DD32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9441">
      <w:bodyDiv w:val="1"/>
      <w:marLeft w:val="0"/>
      <w:marRight w:val="0"/>
      <w:marTop w:val="0"/>
      <w:marBottom w:val="0"/>
      <w:divBdr>
        <w:top w:val="none" w:sz="0" w:space="0" w:color="auto"/>
        <w:left w:val="none" w:sz="0" w:space="0" w:color="auto"/>
        <w:bottom w:val="none" w:sz="0" w:space="0" w:color="auto"/>
        <w:right w:val="none" w:sz="0" w:space="0" w:color="auto"/>
      </w:divBdr>
    </w:div>
    <w:div w:id="536507293">
      <w:bodyDiv w:val="1"/>
      <w:marLeft w:val="0"/>
      <w:marRight w:val="0"/>
      <w:marTop w:val="0"/>
      <w:marBottom w:val="0"/>
      <w:divBdr>
        <w:top w:val="none" w:sz="0" w:space="0" w:color="auto"/>
        <w:left w:val="none" w:sz="0" w:space="0" w:color="auto"/>
        <w:bottom w:val="none" w:sz="0" w:space="0" w:color="auto"/>
        <w:right w:val="none" w:sz="0" w:space="0" w:color="auto"/>
      </w:divBdr>
    </w:div>
    <w:div w:id="1070688234">
      <w:bodyDiv w:val="1"/>
      <w:marLeft w:val="0"/>
      <w:marRight w:val="0"/>
      <w:marTop w:val="0"/>
      <w:marBottom w:val="0"/>
      <w:divBdr>
        <w:top w:val="none" w:sz="0" w:space="0" w:color="auto"/>
        <w:left w:val="none" w:sz="0" w:space="0" w:color="auto"/>
        <w:bottom w:val="none" w:sz="0" w:space="0" w:color="auto"/>
        <w:right w:val="none" w:sz="0" w:space="0" w:color="auto"/>
      </w:divBdr>
    </w:div>
    <w:div w:id="18337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hcag.com/captions-live/" TargetMode="External"/><Relationship Id="rId13" Type="http://schemas.openxmlformats.org/officeDocument/2006/relationships/hyperlink" Target="https://www.wuhcag.com/multiple-ways/" TargetMode="External"/><Relationship Id="rId18" Type="http://schemas.openxmlformats.org/officeDocument/2006/relationships/hyperlink" Target="https://www.wuhcag.com/consistent-identifi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wuhcag.com/images-of-text/" TargetMode="External"/><Relationship Id="rId17" Type="http://schemas.openxmlformats.org/officeDocument/2006/relationships/hyperlink" Target="https://www.wuhcag.com/consistent-navigation/" TargetMode="External"/><Relationship Id="rId2" Type="http://schemas.openxmlformats.org/officeDocument/2006/relationships/styles" Target="styles.xml"/><Relationship Id="rId16" Type="http://schemas.openxmlformats.org/officeDocument/2006/relationships/hyperlink" Target="https://www.wuhcag.com/language-of-parts/" TargetMode="External"/><Relationship Id="rId20" Type="http://schemas.openxmlformats.org/officeDocument/2006/relationships/hyperlink" Target="https://www.wuhcag.com/error-prevention-legal-financial-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uhcag.com/resize-text/" TargetMode="External"/><Relationship Id="rId5" Type="http://schemas.openxmlformats.org/officeDocument/2006/relationships/footnotes" Target="footnotes.xml"/><Relationship Id="rId15" Type="http://schemas.openxmlformats.org/officeDocument/2006/relationships/hyperlink" Target="https://www.wuhcag.com/focus-visible/" TargetMode="External"/><Relationship Id="rId10" Type="http://schemas.openxmlformats.org/officeDocument/2006/relationships/hyperlink" Target="https://www.wuhcag.com/contrast-minimum/" TargetMode="External"/><Relationship Id="rId19" Type="http://schemas.openxmlformats.org/officeDocument/2006/relationships/hyperlink" Target="https://www.wuhcag.com/error-suggestion/" TargetMode="External"/><Relationship Id="rId4" Type="http://schemas.openxmlformats.org/officeDocument/2006/relationships/webSettings" Target="webSettings.xml"/><Relationship Id="rId9" Type="http://schemas.openxmlformats.org/officeDocument/2006/relationships/hyperlink" Target="https://www.wuhcag.com/audio-description-prerecorded/" TargetMode="External"/><Relationship Id="rId14" Type="http://schemas.openxmlformats.org/officeDocument/2006/relationships/hyperlink" Target="https://www.wuhcag.com/headings-and-labe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Rosa</dc:creator>
  <cp:lastModifiedBy>Mezick, Jennifer</cp:lastModifiedBy>
  <cp:revision>2</cp:revision>
  <dcterms:created xsi:type="dcterms:W3CDTF">2017-05-23T19:34:00Z</dcterms:created>
  <dcterms:modified xsi:type="dcterms:W3CDTF">2017-05-23T19:34:00Z</dcterms:modified>
</cp:coreProperties>
</file>